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B9A3E" w14:textId="678732A2" w:rsidR="00A034C9" w:rsidRPr="009B5A04" w:rsidRDefault="009B5A04" w:rsidP="00A034C9">
      <w:pPr>
        <w:rPr>
          <w:rFonts w:ascii="Times New Roman" w:hAnsi="Times New Roman" w:cs="Times New Roman"/>
          <w:b/>
          <w:bCs/>
          <w:sz w:val="28"/>
          <w:szCs w:val="28"/>
        </w:rPr>
      </w:pPr>
      <w:r w:rsidRPr="009B5A04">
        <w:rPr>
          <w:rFonts w:ascii="Times New Roman" w:hAnsi="Times New Roman" w:cs="Times New Roman"/>
          <w:b/>
          <w:bCs/>
          <w:sz w:val="28"/>
          <w:szCs w:val="28"/>
        </w:rPr>
        <w:t>Orientações para composição dos a</w:t>
      </w:r>
      <w:r>
        <w:rPr>
          <w:rFonts w:ascii="Times New Roman" w:hAnsi="Times New Roman" w:cs="Times New Roman"/>
          <w:b/>
          <w:bCs/>
          <w:sz w:val="28"/>
          <w:szCs w:val="28"/>
        </w:rPr>
        <w:t>rtigos</w:t>
      </w:r>
    </w:p>
    <w:p w14:paraId="631916F6" w14:textId="7939ADA5" w:rsidR="00A034C9" w:rsidRPr="00A812CD" w:rsidRDefault="00D07D3A" w:rsidP="00A034C9">
      <w:pPr>
        <w:rPr>
          <w:rFonts w:ascii="Times New Roman" w:hAnsi="Times New Roman" w:cs="Times New Roman"/>
        </w:rPr>
      </w:pPr>
      <w:r w:rsidRPr="00A812CD">
        <w:rPr>
          <w:rFonts w:ascii="Times New Roman" w:hAnsi="Times New Roman" w:cs="Times New Roman"/>
        </w:rPr>
        <w:t xml:space="preserve"> TYPEFICATION OF VARIATIONS INFRARED SPECTRUM OF BUTTER CHEESE ADULTERED WHITH VEGETABLE OIL.</w:t>
      </w:r>
    </w:p>
    <w:p w14:paraId="5492BE6C" w14:textId="6F294924" w:rsidR="00A034C9" w:rsidRPr="00DE2D49" w:rsidRDefault="00D07D3A" w:rsidP="00DE2D49">
      <w:pPr>
        <w:rPr>
          <w:rFonts w:ascii="Times New Roman" w:hAnsi="Times New Roman" w:cs="Times New Roman"/>
          <w:sz w:val="20"/>
          <w:szCs w:val="20"/>
        </w:rPr>
      </w:pPr>
      <w:r>
        <w:rPr>
          <w:rFonts w:ascii="Times New Roman" w:hAnsi="Times New Roman" w:cs="Times New Roman"/>
          <w:sz w:val="20"/>
          <w:szCs w:val="20"/>
        </w:rPr>
        <w:t xml:space="preserve">Antonio Iranaldo nunes leite </w:t>
      </w:r>
      <w:r w:rsidRPr="009B5A04">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xml:space="preserve">  </w:t>
      </w:r>
      <w:r>
        <w:rPr>
          <w:rFonts w:ascii="Times New Roman" w:hAnsi="Times New Roman" w:cs="Times New Roman"/>
          <w:sz w:val="20"/>
          <w:szCs w:val="20"/>
        </w:rPr>
        <w:t>Uliana Karina de Medeiros</w:t>
      </w:r>
      <w:r w:rsidRPr="00D07D3A">
        <w:rPr>
          <w:rFonts w:ascii="Times New Roman" w:hAnsi="Times New Roman" w:cs="Times New Roman"/>
          <w:sz w:val="20"/>
          <w:szCs w:val="20"/>
          <w:vertAlign w:val="superscript"/>
        </w:rPr>
        <w:t>2</w:t>
      </w:r>
      <w:r>
        <w:rPr>
          <w:rFonts w:ascii="Times New Roman" w:hAnsi="Times New Roman" w:cs="Times New Roman"/>
          <w:sz w:val="20"/>
          <w:szCs w:val="20"/>
        </w:rPr>
        <w:t>, Nívea Maria Vicentini</w:t>
      </w:r>
      <w:r w:rsidRPr="00D07D3A">
        <w:rPr>
          <w:rFonts w:ascii="Times New Roman" w:hAnsi="Times New Roman" w:cs="Times New Roman"/>
          <w:sz w:val="20"/>
          <w:szCs w:val="20"/>
          <w:vertAlign w:val="superscript"/>
        </w:rPr>
        <w:t>3</w:t>
      </w:r>
      <w:r>
        <w:rPr>
          <w:rFonts w:ascii="Times New Roman" w:hAnsi="Times New Roman" w:cs="Times New Roman"/>
          <w:sz w:val="20"/>
          <w:szCs w:val="20"/>
        </w:rPr>
        <w:t>, Virgílio dos Anjos</w:t>
      </w:r>
      <w:r w:rsidRPr="00D07D3A">
        <w:rPr>
          <w:rFonts w:ascii="Times New Roman" w:hAnsi="Times New Roman" w:cs="Times New Roman"/>
          <w:sz w:val="20"/>
          <w:szCs w:val="20"/>
          <w:vertAlign w:val="superscript"/>
        </w:rPr>
        <w:t>4</w:t>
      </w:r>
      <w:r>
        <w:rPr>
          <w:rFonts w:ascii="Times New Roman" w:hAnsi="Times New Roman" w:cs="Times New Roman"/>
          <w:sz w:val="20"/>
          <w:szCs w:val="20"/>
        </w:rPr>
        <w:t>,  Isandra de França Medeiros</w:t>
      </w:r>
      <w:r w:rsidRPr="00D07D3A">
        <w:rPr>
          <w:rFonts w:ascii="Times New Roman" w:hAnsi="Times New Roman" w:cs="Times New Roman"/>
          <w:sz w:val="20"/>
          <w:szCs w:val="20"/>
          <w:vertAlign w:val="superscript"/>
        </w:rPr>
        <w:t>5</w:t>
      </w:r>
      <w:r>
        <w:rPr>
          <w:rFonts w:ascii="Times New Roman" w:hAnsi="Times New Roman" w:cs="Times New Roman"/>
          <w:sz w:val="20"/>
          <w:szCs w:val="20"/>
        </w:rPr>
        <w:t xml:space="preserve">. </w:t>
      </w:r>
    </w:p>
    <w:p w14:paraId="2FDA732D" w14:textId="752931A9" w:rsidR="009B5A04" w:rsidRDefault="00D07D3A" w:rsidP="009B5A04">
      <w:pPr>
        <w:spacing w:after="0"/>
        <w:rPr>
          <w:rFonts w:ascii="Times New Roman" w:hAnsi="Times New Roman" w:cs="Times New Roman"/>
          <w:sz w:val="16"/>
          <w:szCs w:val="16"/>
        </w:rPr>
      </w:pPr>
      <w:r>
        <w:rPr>
          <w:rFonts w:ascii="Times New Roman" w:hAnsi="Times New Roman" w:cs="Times New Roman"/>
          <w:sz w:val="16"/>
          <w:szCs w:val="16"/>
          <w:vertAlign w:val="superscript"/>
        </w:rPr>
        <w:t xml:space="preserve"> </w:t>
      </w:r>
      <w:r w:rsidR="00A034C9" w:rsidRPr="00800481">
        <w:rPr>
          <w:rFonts w:ascii="Times New Roman" w:hAnsi="Times New Roman" w:cs="Times New Roman"/>
          <w:sz w:val="16"/>
          <w:szCs w:val="16"/>
          <w:vertAlign w:val="superscript"/>
        </w:rPr>
        <w:t>1</w:t>
      </w:r>
      <w:r w:rsidR="009B5A04">
        <w:rPr>
          <w:rFonts w:ascii="Times New Roman" w:hAnsi="Times New Roman" w:cs="Times New Roman"/>
          <w:sz w:val="16"/>
          <w:szCs w:val="16"/>
          <w:vertAlign w:val="superscript"/>
        </w:rPr>
        <w:t xml:space="preserve"> </w:t>
      </w:r>
      <w:r w:rsidR="00406676">
        <w:rPr>
          <w:rFonts w:ascii="Times New Roman" w:hAnsi="Times New Roman" w:cs="Times New Roman"/>
          <w:sz w:val="16"/>
          <w:szCs w:val="16"/>
        </w:rPr>
        <w:t>Aluno do Curso de Especialização-IFRN campus Currais Novos-RN</w:t>
      </w:r>
      <w:r w:rsidR="009B5A04">
        <w:rPr>
          <w:rFonts w:ascii="Times New Roman" w:hAnsi="Times New Roman" w:cs="Times New Roman"/>
          <w:sz w:val="16"/>
          <w:szCs w:val="16"/>
        </w:rPr>
        <w:t xml:space="preserve">/E-mail: </w:t>
      </w:r>
      <w:hyperlink r:id="rId8" w:history="1">
        <w:r w:rsidR="00406676" w:rsidRPr="009D7DD8">
          <w:rPr>
            <w:rStyle w:val="Hyperlink"/>
            <w:rFonts w:ascii="Times New Roman" w:hAnsi="Times New Roman" w:cs="Times New Roman"/>
            <w:sz w:val="16"/>
            <w:szCs w:val="16"/>
          </w:rPr>
          <w:t>antonio.leite@ifrn.edu.br</w:t>
        </w:r>
      </w:hyperlink>
      <w:r w:rsidR="009B5A04" w:rsidRPr="009B5A04">
        <w:rPr>
          <w:rFonts w:ascii="Times New Roman" w:hAnsi="Times New Roman" w:cs="Times New Roman"/>
          <w:sz w:val="16"/>
          <w:szCs w:val="16"/>
        </w:rPr>
        <w:t>;</w:t>
      </w:r>
      <w:r w:rsidR="00406676">
        <w:rPr>
          <w:rFonts w:ascii="Times New Roman" w:hAnsi="Times New Roman" w:cs="Times New Roman"/>
          <w:sz w:val="16"/>
          <w:szCs w:val="16"/>
        </w:rPr>
        <w:t xml:space="preserve"> 2Professa Dra</w:t>
      </w:r>
      <w:r w:rsidR="00222FA7">
        <w:rPr>
          <w:rFonts w:ascii="Times New Roman" w:hAnsi="Times New Roman" w:cs="Times New Roman"/>
          <w:sz w:val="16"/>
          <w:szCs w:val="16"/>
        </w:rPr>
        <w:t xml:space="preserve"> .IFRN</w:t>
      </w:r>
      <w:r w:rsidR="00406676">
        <w:rPr>
          <w:rFonts w:ascii="Times New Roman" w:hAnsi="Times New Roman" w:cs="Times New Roman"/>
          <w:sz w:val="16"/>
          <w:szCs w:val="16"/>
        </w:rPr>
        <w:t>/CN, 3 Pesquisadora Embrapa Gado de Leite-MG; Professor Dr. UFJF-MG; Tecnica de Laboratório IFRN/CN</w:t>
      </w:r>
    </w:p>
    <w:p w14:paraId="1B6A0C5B" w14:textId="4110780D" w:rsidR="00A034C9" w:rsidRPr="00800481" w:rsidRDefault="009B5A04" w:rsidP="009B5A04">
      <w:pPr>
        <w:spacing w:after="0"/>
        <w:rPr>
          <w:rFonts w:ascii="Times New Roman" w:hAnsi="Times New Roman" w:cs="Times New Roman"/>
        </w:rPr>
      </w:pPr>
      <w:r w:rsidRPr="00800481">
        <w:rPr>
          <w:rFonts w:ascii="Times New Roman" w:hAnsi="Times New Roman" w:cs="Times New Roman"/>
        </w:rPr>
        <w:t xml:space="preserve"> </w:t>
      </w:r>
    </w:p>
    <w:p w14:paraId="4E68C890" w14:textId="6523A484" w:rsidR="00A034C9" w:rsidRPr="00800481" w:rsidRDefault="00A034C9" w:rsidP="00D83A47">
      <w:pPr>
        <w:jc w:val="both"/>
        <w:rPr>
          <w:rFonts w:ascii="Times New Roman" w:hAnsi="Times New Roman" w:cs="Times New Roman"/>
          <w:sz w:val="20"/>
          <w:szCs w:val="20"/>
        </w:rPr>
      </w:pPr>
      <w:r w:rsidRPr="00800481">
        <w:rPr>
          <w:rFonts w:ascii="Times New Roman" w:hAnsi="Times New Roman" w:cs="Times New Roman"/>
          <w:b/>
          <w:bCs/>
          <w:sz w:val="20"/>
          <w:szCs w:val="20"/>
        </w:rPr>
        <w:t>RESUMO</w:t>
      </w:r>
      <w:r w:rsidRPr="00800481">
        <w:rPr>
          <w:rFonts w:ascii="Times New Roman" w:hAnsi="Times New Roman" w:cs="Times New Roman"/>
          <w:sz w:val="20"/>
          <w:szCs w:val="20"/>
        </w:rPr>
        <w:t>-</w:t>
      </w:r>
      <w:r w:rsidR="000B64CF">
        <w:rPr>
          <w:rFonts w:ascii="Times New Roman" w:hAnsi="Times New Roman" w:cs="Times New Roman"/>
          <w:sz w:val="20"/>
          <w:szCs w:val="20"/>
        </w:rPr>
        <w:t xml:space="preserve"> </w:t>
      </w:r>
      <w:r w:rsidR="000B64CF" w:rsidRPr="000B64CF">
        <w:rPr>
          <w:rFonts w:ascii="Times New Roman" w:hAnsi="Times New Roman" w:cs="Times New Roman"/>
          <w:sz w:val="20"/>
          <w:szCs w:val="20"/>
        </w:rPr>
        <w:t>O trabalho objetivou constatar os tipos de alterações ocorridas no espectro infravermelho do queijo de manteiga, quando fraudado com óleo vegetal. Para isso, utilizou-se um método instrumental, a espectroscopia infravermelho médio, por ser rápida, confiável e ecoeficiente, já que elimina o uso de reagentes perigosos e elimina o descarte de produtos danosos ao meio ambiente. Produziu-se amostras de queijo de manteiga falsificados com óleo vegetal em proporções de 0 a 100% de substituição da manteiga de garrafa por óleo que foram analisadas em triplicatas. Os espectros obtidos demonstraram variações nas principais regiões do espectro do queijo de acordo com a intensidade da fraude. Os espectros obtidos foram tratados por quimiometria quando demostrou-se por meio da Análise de Componente Principal-PCA, haver alterações nas principais regiões do espectro do queijo de manteiga suficientes para caracterizar a fraude, demonstrado assim a eficiência do método.</w:t>
      </w:r>
      <w:r w:rsidR="009B5A04">
        <w:rPr>
          <w:rFonts w:ascii="Times New Roman" w:hAnsi="Times New Roman" w:cs="Times New Roman"/>
          <w:sz w:val="20"/>
          <w:szCs w:val="20"/>
        </w:rPr>
        <w:t>O resumo descreve o objetivo geral do artigo, seguido da descrição sucinta do material e métodos, além dos resultados de maior relevância seguido da conclusão. Não é necessário inserir no resumo citações.</w:t>
      </w:r>
    </w:p>
    <w:p w14:paraId="24E31D6C" w14:textId="587989D8" w:rsidR="00A034C9" w:rsidRPr="009B5A04" w:rsidRDefault="00A034C9" w:rsidP="00A034C9">
      <w:pPr>
        <w:rPr>
          <w:rFonts w:ascii="Times New Roman" w:hAnsi="Times New Roman" w:cs="Times New Roman"/>
          <w:sz w:val="20"/>
          <w:szCs w:val="20"/>
          <w:lang w:val="en-US"/>
        </w:rPr>
      </w:pPr>
      <w:r w:rsidRPr="00F024FB">
        <w:rPr>
          <w:rFonts w:ascii="Times New Roman" w:hAnsi="Times New Roman" w:cs="Times New Roman"/>
          <w:b/>
          <w:bCs/>
          <w:sz w:val="20"/>
          <w:szCs w:val="20"/>
        </w:rPr>
        <w:t>Palavras-chave</w:t>
      </w:r>
      <w:r w:rsidR="000B64CF">
        <w:rPr>
          <w:rFonts w:ascii="Times New Roman" w:hAnsi="Times New Roman" w:cs="Times New Roman"/>
          <w:sz w:val="20"/>
          <w:szCs w:val="20"/>
        </w:rPr>
        <w:t>:</w:t>
      </w:r>
      <w:r w:rsidR="00F024FB" w:rsidRPr="00F024FB">
        <w:rPr>
          <w:rFonts w:ascii="Times New Roman" w:hAnsi="Times New Roman" w:cs="Times New Roman"/>
          <w:sz w:val="20"/>
          <w:szCs w:val="20"/>
        </w:rPr>
        <w:t xml:space="preserve"> </w:t>
      </w:r>
      <w:r w:rsidR="000B64CF" w:rsidRPr="000B64CF">
        <w:rPr>
          <w:rFonts w:ascii="Times New Roman" w:hAnsi="Times New Roman" w:cs="Times New Roman"/>
          <w:sz w:val="20"/>
          <w:szCs w:val="20"/>
        </w:rPr>
        <w:t>Caracterizar</w:t>
      </w:r>
      <w:r w:rsidR="000B64CF">
        <w:rPr>
          <w:rFonts w:ascii="Times New Roman" w:hAnsi="Times New Roman" w:cs="Times New Roman"/>
          <w:sz w:val="20"/>
          <w:szCs w:val="20"/>
        </w:rPr>
        <w:t>ção</w:t>
      </w:r>
      <w:r w:rsidR="000B64CF" w:rsidRPr="000B64CF">
        <w:rPr>
          <w:rFonts w:ascii="Times New Roman" w:hAnsi="Times New Roman" w:cs="Times New Roman"/>
          <w:sz w:val="20"/>
          <w:szCs w:val="20"/>
        </w:rPr>
        <w:t>, Fraude, Espectroscopia, Queijo de manteiga.</w:t>
      </w:r>
      <w:bookmarkStart w:id="0" w:name="_GoBack"/>
      <w:bookmarkEnd w:id="0"/>
      <w:r w:rsidR="00F024FB" w:rsidRPr="00F024FB">
        <w:rPr>
          <w:rFonts w:ascii="Times New Roman" w:hAnsi="Times New Roman" w:cs="Times New Roman"/>
          <w:sz w:val="20"/>
          <w:szCs w:val="20"/>
        </w:rPr>
        <w:t xml:space="preserve"> </w:t>
      </w:r>
    </w:p>
    <w:p w14:paraId="78AE67D5" w14:textId="32517FEC" w:rsidR="005A50B2" w:rsidRPr="009B5A04" w:rsidRDefault="00A034C9" w:rsidP="005A50B2">
      <w:pPr>
        <w:jc w:val="both"/>
        <w:rPr>
          <w:rFonts w:ascii="Times New Roman" w:hAnsi="Times New Roman" w:cs="Times New Roman"/>
          <w:sz w:val="20"/>
          <w:szCs w:val="20"/>
        </w:rPr>
      </w:pPr>
      <w:r w:rsidRPr="009B5A04">
        <w:rPr>
          <w:rFonts w:ascii="Times New Roman" w:hAnsi="Times New Roman" w:cs="Times New Roman"/>
          <w:b/>
          <w:bCs/>
          <w:sz w:val="20"/>
          <w:szCs w:val="20"/>
        </w:rPr>
        <w:t>ABSTRACT</w:t>
      </w:r>
      <w:r w:rsidRPr="009B5A04">
        <w:rPr>
          <w:rFonts w:ascii="Times New Roman" w:hAnsi="Times New Roman" w:cs="Times New Roman"/>
          <w:sz w:val="20"/>
          <w:szCs w:val="20"/>
        </w:rPr>
        <w:t>-</w:t>
      </w:r>
      <w:r w:rsidR="005A50B2" w:rsidRPr="009B5A04">
        <w:t xml:space="preserve"> </w:t>
      </w:r>
      <w:r w:rsidR="000B64CF" w:rsidRPr="000B64CF">
        <w:rPr>
          <w:rFonts w:ascii="Times New Roman" w:hAnsi="Times New Roman" w:cs="Times New Roman"/>
          <w:sz w:val="20"/>
          <w:szCs w:val="20"/>
        </w:rPr>
        <w:t>The objective of this work is to verify the types of changes that occur in the infrared spectrum of butter cheese, when fraudulent with vegetable oil. For this, we used an instrumental method, medium infrared spectroscopy, because it is fast, reliable and eco-efficient, as it eliminates the use of hazardous reagents and eliminates the disposal of products harmful to the environment. Vegetable oil counterfeit butter cheese samples were produced in proportions of 0 to 100% oil bottle butter replacement and analyzed in triplicates. The obtained spectra showed variations in the main regions of the cheese spectrum according to the intensity of the fraud. The obtained spectra were treated by chemometrics when it was demonstrated by Principal Component Analysis-PCA, that there were enough alterations in the main regions of the butter cheese spectrum to characterize the fraud, thus demonstrating the efficiency of the method.</w:t>
      </w:r>
    </w:p>
    <w:p w14:paraId="4DFA8608" w14:textId="02D4D3DD" w:rsidR="00731306" w:rsidRPr="00F024FB" w:rsidRDefault="00A034C9" w:rsidP="005A50B2">
      <w:pPr>
        <w:jc w:val="both"/>
        <w:rPr>
          <w:rFonts w:ascii="Times New Roman" w:hAnsi="Times New Roman" w:cs="Times New Roman"/>
          <w:sz w:val="20"/>
          <w:szCs w:val="20"/>
          <w:lang w:val="en-US"/>
        </w:rPr>
      </w:pPr>
      <w:r w:rsidRPr="00800481">
        <w:rPr>
          <w:rFonts w:ascii="Times New Roman" w:hAnsi="Times New Roman" w:cs="Times New Roman"/>
          <w:b/>
          <w:bCs/>
          <w:sz w:val="20"/>
          <w:szCs w:val="20"/>
          <w:lang w:val="en-US"/>
        </w:rPr>
        <w:t>Key-words</w:t>
      </w:r>
      <w:r w:rsidRPr="00800481">
        <w:rPr>
          <w:rFonts w:ascii="Times New Roman" w:hAnsi="Times New Roman" w:cs="Times New Roman"/>
          <w:sz w:val="20"/>
          <w:szCs w:val="20"/>
          <w:lang w:val="en-US"/>
        </w:rPr>
        <w:t xml:space="preserve">: </w:t>
      </w:r>
      <w:r w:rsidR="000B64CF">
        <w:rPr>
          <w:rFonts w:ascii="Times New Roman" w:hAnsi="Times New Roman" w:cs="Times New Roman"/>
          <w:sz w:val="20"/>
          <w:szCs w:val="20"/>
          <w:lang w:val="en-US"/>
        </w:rPr>
        <w:t>Characterization</w:t>
      </w:r>
      <w:r w:rsidR="000B64CF" w:rsidRPr="000B64CF">
        <w:rPr>
          <w:rFonts w:ascii="Times New Roman" w:hAnsi="Times New Roman" w:cs="Times New Roman"/>
          <w:sz w:val="20"/>
          <w:szCs w:val="20"/>
          <w:lang w:val="en-US"/>
        </w:rPr>
        <w:t>, Fraud, Spectroscopy, Butter Cheese.</w:t>
      </w:r>
    </w:p>
    <w:p w14:paraId="37D78D26" w14:textId="77777777" w:rsidR="000462D0" w:rsidRPr="009B5A04" w:rsidRDefault="000462D0" w:rsidP="000B65BB">
      <w:pPr>
        <w:spacing w:line="360" w:lineRule="auto"/>
        <w:rPr>
          <w:rFonts w:ascii="Times New Roman" w:hAnsi="Times New Roman" w:cs="Times New Roman"/>
          <w:b/>
          <w:bCs/>
          <w:sz w:val="20"/>
          <w:szCs w:val="20"/>
          <w:lang w:val="en-US"/>
        </w:rPr>
        <w:sectPr w:rsidR="000462D0" w:rsidRPr="009B5A04" w:rsidSect="0092160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709" w:footer="709" w:gutter="0"/>
          <w:cols w:space="227"/>
          <w:titlePg/>
          <w:docGrid w:linePitch="360"/>
        </w:sectPr>
      </w:pPr>
      <w:bookmarkStart w:id="2" w:name="_Toc288726222"/>
    </w:p>
    <w:p w14:paraId="098702E8" w14:textId="75B79EF2" w:rsidR="00A034C9" w:rsidRPr="00222FA7" w:rsidRDefault="009B5A04" w:rsidP="000B65BB">
      <w:pPr>
        <w:spacing w:line="360" w:lineRule="auto"/>
        <w:jc w:val="both"/>
        <w:rPr>
          <w:rFonts w:ascii="Times New Roman" w:hAnsi="Times New Roman" w:cs="Times New Roman"/>
          <w:b/>
          <w:bCs/>
        </w:rPr>
      </w:pPr>
      <w:bookmarkStart w:id="3" w:name="__RefHeading__19_1979308367"/>
      <w:bookmarkEnd w:id="2"/>
      <w:bookmarkEnd w:id="3"/>
      <w:r w:rsidRPr="00222FA7">
        <w:rPr>
          <w:rFonts w:ascii="Times New Roman" w:hAnsi="Times New Roman" w:cs="Times New Roman"/>
          <w:b/>
          <w:bCs/>
        </w:rPr>
        <w:lastRenderedPageBreak/>
        <w:t>Introdução</w:t>
      </w:r>
    </w:p>
    <w:p w14:paraId="258A505A" w14:textId="2D493746" w:rsidR="009D4606" w:rsidRPr="000B65BB" w:rsidRDefault="009D4606"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O queijo é um alimento de fácil obtenção e um dos mais nutritivo que se conhece.  Sua produção é basicamente um processo de concentração do leite no qual parte dos componentes sólidos, proteína e gordura, são concentrados na coalhada enquanto outros componentes são separados desta por meio do soro. A maioria das variedades de queijos surgiu de modo acidental devido a circunstância local (composição do leite, microbiota endógena, espécie e raça do animal), também por causa de evento acontecido durante a tentativa de produção ou estocagem do queijo (crescimento de mofos ou outros microrganismos). Ocasionalmente, estas eventualidades, provocaram tais mudanças desejadas na qualidade do queijo que foram incorporados ao protocolo de fabricação e vêm sofrendo adaptaçõ</w:t>
      </w:r>
      <w:r w:rsidR="00406676">
        <w:rPr>
          <w:rFonts w:ascii="Times New Roman" w:hAnsi="Times New Roman" w:cs="Times New Roman"/>
          <w:sz w:val="20"/>
          <w:szCs w:val="20"/>
        </w:rPr>
        <w:t xml:space="preserve">es evolutivas (PAULA, CARVALHO </w:t>
      </w:r>
      <w:r w:rsidRPr="000B65BB">
        <w:rPr>
          <w:rFonts w:ascii="Times New Roman" w:hAnsi="Times New Roman" w:cs="Times New Roman"/>
          <w:sz w:val="20"/>
          <w:szCs w:val="20"/>
        </w:rPr>
        <w:t xml:space="preserve"> FURTADO2009).</w:t>
      </w:r>
    </w:p>
    <w:p w14:paraId="46394D49" w14:textId="77777777" w:rsidR="009D4606" w:rsidRPr="000B65BB" w:rsidRDefault="009D4606"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 xml:space="preserve">Dentre os inúmeros tipos de queijos, encontramos o queijo de manteiga, bastante apreciado no Nordeste brasileiro e também em outras regiões devido a disseminação da gastronomia regional. O Queijo de Manteiga é um produto obtido mediante coagulação do leite com emprego de ácidos orgânicos de grau alimentício, cuja massa é submetida à dessoragem, lavagem e fusão, com acréscimo exclusivamente de manteiga de garrafa ou manteiga da terra. E tendo a </w:t>
      </w:r>
      <w:r w:rsidRPr="000B65BB">
        <w:rPr>
          <w:rFonts w:ascii="Times New Roman" w:hAnsi="Times New Roman" w:cs="Times New Roman"/>
          <w:sz w:val="20"/>
          <w:szCs w:val="20"/>
        </w:rPr>
        <w:lastRenderedPageBreak/>
        <w:t xml:space="preserve">manteiga de garrafa como principal ingrediente, ações de fraude são comuns neste tipo de produto, quando se substitui a manteiga de garrafa pelo óleo vegetal. De acordo com Dankowska; Malecka e Kowalewski (2015) “O queijo é feito de leite, portanto, a única gordura que ele contém é a gordura do leite e a gordura do leite é uma das matérias primas mais caras do mercado” (DANKOWSKA; MALECKA; KOWALEWSKI, 2015). </w:t>
      </w:r>
    </w:p>
    <w:p w14:paraId="1F56B307" w14:textId="77777777" w:rsidR="009D4606" w:rsidRPr="000B65BB" w:rsidRDefault="009D4606"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Cuibus et al. (2014) que estudaram a fraude em queijos por óleo vegetal na Romênia, afirmam que em nossos dias, uma grande preocupação tanto para pesquisadores na indústria de alimentos, como para consumidores é a autenticidade de queijos, a qual se tornou questão crucial no controle de qualidade e segurança alimentar. E no queijo, a adulteração sempre foi um sério problema, pois muitos produtores substituem a gordura do leite por gorduras vegetais de valor nutritivo e comercial inferiores. Já Foda et al. (2013), avaliando a composição de queijo fresco na cidade do Cairo (Egito), concluíram que o queijo é um dos principais produtos lácteos, não apenas por suas variedades tecnológicas, texturas e sabores, mas principalmente por fornecer nutrientes importantes ao consumidor. E as pesquisas hoje, estão dirigidas não mais para a produção e sim para a qualidade do queijo como alimento funcional, e a fraude desvirtua este processo (FODA et al., 2013).</w:t>
      </w:r>
    </w:p>
    <w:p w14:paraId="5C1ECE49" w14:textId="09EEB8D6" w:rsidR="009D4606" w:rsidRPr="000B65BB" w:rsidRDefault="009D4606"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Neste contexto, Alejewicz et al. (2011) afirmam que as adulterações mais comuns em queijos, são com óleo de palma, coco, milho, soja e algodão. Em pesquisas feitas no queijo de manteiga, verificou-se como a fraude mais comum, a substituição da manteiga de garrafa por</w:t>
      </w:r>
      <w:r w:rsidR="002B75F5">
        <w:rPr>
          <w:rFonts w:ascii="Times New Roman" w:hAnsi="Times New Roman" w:cs="Times New Roman"/>
          <w:sz w:val="20"/>
          <w:szCs w:val="20"/>
        </w:rPr>
        <w:t xml:space="preserve"> óleo de vegetal (</w:t>
      </w:r>
      <w:r w:rsidRPr="000B65BB">
        <w:rPr>
          <w:rFonts w:ascii="Times New Roman" w:hAnsi="Times New Roman" w:cs="Times New Roman"/>
          <w:sz w:val="20"/>
          <w:szCs w:val="20"/>
        </w:rPr>
        <w:t xml:space="preserve"> CARVALHO et al., 2011;</w:t>
      </w:r>
      <w:r w:rsidR="00343F10">
        <w:rPr>
          <w:rFonts w:ascii="Times New Roman" w:hAnsi="Times New Roman" w:cs="Times New Roman"/>
          <w:sz w:val="20"/>
          <w:szCs w:val="20"/>
        </w:rPr>
        <w:t xml:space="preserve"> VAZ, 2015</w:t>
      </w:r>
      <w:r w:rsidRPr="000B65BB">
        <w:rPr>
          <w:rFonts w:ascii="Times New Roman" w:hAnsi="Times New Roman" w:cs="Times New Roman"/>
          <w:sz w:val="20"/>
          <w:szCs w:val="20"/>
        </w:rPr>
        <w:t>). A verificação deste tipo de fraude envolve técnicas complexas e laboriosas, porém, nas últimas décadas as análises instrumentais tornaram-se bastante usadas na investigação de fraude em alimentos. E dentre estas técnicas instrumentais, a espectroscopia infravermelho vem ganhando destaque como ferramenta para investigação da qualidade e da autenticidade de um alimento, sendo capaz de verificar a presença de pequenas quantidades de compostos estranhos presente no analito e assim caracterizar a fraude (CUIBUS, 2014).</w:t>
      </w:r>
    </w:p>
    <w:p w14:paraId="4156A032" w14:textId="77777777" w:rsidR="009D4606" w:rsidRPr="000B65BB" w:rsidRDefault="009D4606"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Para esta pesquisa, utilizamos a espectroscopia infravermelho médio (MIR), que apresenta número de ondas de 4000 cm</w:t>
      </w:r>
      <w:r w:rsidRPr="000B65BB">
        <w:rPr>
          <w:rFonts w:ascii="Times New Roman" w:hAnsi="Times New Roman" w:cs="Times New Roman"/>
          <w:sz w:val="20"/>
          <w:szCs w:val="20"/>
          <w:vertAlign w:val="superscript"/>
        </w:rPr>
        <w:t>-1</w:t>
      </w:r>
      <w:r w:rsidRPr="000B65BB">
        <w:rPr>
          <w:rFonts w:ascii="Times New Roman" w:hAnsi="Times New Roman" w:cs="Times New Roman"/>
          <w:sz w:val="20"/>
          <w:szCs w:val="20"/>
        </w:rPr>
        <w:t xml:space="preserve">   a 200 cm</w:t>
      </w:r>
      <w:r w:rsidRPr="000B65BB">
        <w:rPr>
          <w:rFonts w:ascii="Times New Roman" w:hAnsi="Times New Roman" w:cs="Times New Roman"/>
          <w:sz w:val="20"/>
          <w:szCs w:val="20"/>
          <w:vertAlign w:val="superscript"/>
        </w:rPr>
        <w:t>-1</w:t>
      </w:r>
      <w:r w:rsidRPr="000B65BB">
        <w:rPr>
          <w:rFonts w:ascii="Times New Roman" w:hAnsi="Times New Roman" w:cs="Times New Roman"/>
          <w:sz w:val="20"/>
          <w:szCs w:val="20"/>
        </w:rPr>
        <w:t xml:space="preserve">  .    Utilizando-se esta região, consegue-se medir pequenas variações da amostra, o que torna o método robusto e confiável. Na técnica, a incidência da luz infravermelha incide nas moléculas, as quais intensificam seus modos de vibração natural quando há absorção da luz e a verificação do espectro característico da amostra em estudo. Ou seja, a espectroscopia infravermelho médio é capaz de fornecer o perfil químico de um determinado composto por meio do espectro produzido pelas vibrações fundamentais de cada molécula presente na amostra (BOTELHO,2014).</w:t>
      </w:r>
    </w:p>
    <w:p w14:paraId="4FE03D24" w14:textId="334C6A5E" w:rsidR="00C82C7A" w:rsidRDefault="00C82C7A" w:rsidP="009D4606">
      <w:pPr>
        <w:spacing w:line="240" w:lineRule="auto"/>
        <w:jc w:val="both"/>
        <w:rPr>
          <w:rFonts w:ascii="Times New Roman" w:hAnsi="Times New Roman" w:cs="Times New Roman"/>
          <w:b/>
          <w:bCs/>
        </w:rPr>
      </w:pPr>
      <w:r w:rsidRPr="00C82C7A">
        <w:rPr>
          <w:rFonts w:ascii="Times New Roman" w:hAnsi="Times New Roman" w:cs="Times New Roman"/>
          <w:b/>
          <w:bCs/>
        </w:rPr>
        <w:t>Material e Métodos</w:t>
      </w:r>
    </w:p>
    <w:p w14:paraId="7555FF0E" w14:textId="77777777" w:rsidR="009D4606" w:rsidRPr="009D4606" w:rsidRDefault="00C82C7A" w:rsidP="009D4606">
      <w:pPr>
        <w:spacing w:line="360" w:lineRule="auto"/>
        <w:jc w:val="both"/>
        <w:rPr>
          <w:rFonts w:ascii="Times New Roman" w:hAnsi="Times New Roman" w:cs="Times New Roman"/>
          <w:sz w:val="20"/>
          <w:szCs w:val="20"/>
        </w:rPr>
      </w:pPr>
      <w:r>
        <w:rPr>
          <w:rFonts w:ascii="Times New Roman" w:hAnsi="Times New Roman" w:cs="Times New Roman"/>
          <w:b/>
          <w:bCs/>
        </w:rPr>
        <w:tab/>
      </w:r>
      <w:r w:rsidR="009D4606" w:rsidRPr="009D4606">
        <w:rPr>
          <w:rFonts w:ascii="Times New Roman" w:hAnsi="Times New Roman" w:cs="Times New Roman"/>
          <w:sz w:val="20"/>
          <w:szCs w:val="20"/>
        </w:rPr>
        <w:t>As amostras de queijos foram produzidas na usina escola do Instituto Federal de Educação, Ciência e tecnologia do Rio Grande do Norte. Produziu-se amostras de queijo de manteiga com substituições da manteiga de garrafa por óleo vegetal, que variaram de 0 a 100%. Assim, produziu-se amostras de queijo de manteiga com 0, 10, 20, 30, 40, 50, 60, 70, 80, 90 e 100% de substituição. Sendo que nas extremidades encontramos a amostra de queijo de manteiga puro (sem substituição da manteiga de garrafa). E na outra extremidade produziu-se um queijo apenas com óleo vegetal (100% de substituição da manteiga de garrafa). Produziu-se também amostra sem nenhum tipo de gordura, para assim, melhor caracterizar o queijo em estudo. Para cada percentual de manteiga e óleo, produziu-se três amostras. Para a fabricação das amostras utilizou-se leite com acidez de 18º D em média, que originou a massa láctea desnatada com pH médio de 5,40.</w:t>
      </w:r>
    </w:p>
    <w:p w14:paraId="7F26AA27" w14:textId="77777777" w:rsidR="009D4606" w:rsidRDefault="009D4606" w:rsidP="009D460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 xml:space="preserve">Para cada amostra de queijo fabricada, utilizou-se 400g de massa láctea, 6 g de sal, 2g de citrato de sódio, 0,5g de bicarbonato de sódio. Sendo esta mistura levada para fundição e acrescida de 140 g de gordura (manteiga de garrafa ou óleo vegetal), que corresponde a 35% de gordura na amostra, formando assim os diferentes percentuais de manteiga e </w:t>
      </w:r>
      <w:r w:rsidRPr="009D4606">
        <w:rPr>
          <w:rFonts w:ascii="Times New Roman" w:hAnsi="Times New Roman" w:cs="Times New Roman"/>
          <w:sz w:val="20"/>
          <w:szCs w:val="20"/>
        </w:rPr>
        <w:lastRenderedPageBreak/>
        <w:t>óleo vegetal. Após enformadas, foram embaladas a vácuo, refrigeradas e envidas para a análise espectroscópicas no Laboratório de Espectroscopia de Materiais – LEM, da Universidade Federal de Juiz de Fora-MG.</w:t>
      </w:r>
    </w:p>
    <w:p w14:paraId="47CD85B1" w14:textId="77777777" w:rsidR="009D4606" w:rsidRPr="009D4606" w:rsidRDefault="009D4606" w:rsidP="009D460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ANÁLISE DE ESPECTROSCOPIA NO INFRAVERMELHO MÉDIO</w:t>
      </w:r>
    </w:p>
    <w:p w14:paraId="328EB929" w14:textId="77777777" w:rsidR="009D4606" w:rsidRDefault="009D4606" w:rsidP="009D460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ab/>
        <w:t>As amostras de queijos foram mantidas a temperatura de 5º C até o momento da análise, onde cada queijo foi submetido a um corte padrão, obtendo-se três amostragem de diferentes locais, evitando-se superfícies e bordas laterais. Utilizou-se um cilindro de vidro (dimensão 20 mm de diâmetro x20 mm de altura) sendo o molde padronizado. Para a análise utilizou-se o aparelho Espectrômetro MIR (Modelo Vertex 70) marca Bruker. E como este contava com o acessório de Reflectância Total Atenuada-ATR, não foi necessário preparo da amostra com pastilhas de KBR, pois com este acessório a amostra vai direto ao aparelho. Também encontra-se no aparelho o Software OPUS 6.5. As medidas foram realizadas em absorbância com resolução de 4 cm</w:t>
      </w:r>
      <w:r w:rsidRPr="000B65BB">
        <w:rPr>
          <w:rFonts w:ascii="Times New Roman" w:hAnsi="Times New Roman" w:cs="Times New Roman"/>
          <w:sz w:val="20"/>
          <w:szCs w:val="20"/>
          <w:vertAlign w:val="superscript"/>
        </w:rPr>
        <w:t>-1</w:t>
      </w:r>
      <w:r w:rsidRPr="009D4606">
        <w:rPr>
          <w:rFonts w:ascii="Times New Roman" w:hAnsi="Times New Roman" w:cs="Times New Roman"/>
          <w:sz w:val="20"/>
          <w:szCs w:val="20"/>
        </w:rPr>
        <w:t xml:space="preserve">  e varredura de 64 scans no intervalo de 4000 a 400 cm</w:t>
      </w:r>
      <w:r w:rsidRPr="00406676">
        <w:rPr>
          <w:rFonts w:ascii="Times New Roman" w:hAnsi="Times New Roman" w:cs="Times New Roman"/>
          <w:sz w:val="20"/>
          <w:szCs w:val="20"/>
          <w:vertAlign w:val="superscript"/>
        </w:rPr>
        <w:t>-1</w:t>
      </w:r>
      <w:r w:rsidRPr="009D4606">
        <w:rPr>
          <w:rFonts w:ascii="Times New Roman" w:hAnsi="Times New Roman" w:cs="Times New Roman"/>
          <w:sz w:val="20"/>
          <w:szCs w:val="20"/>
        </w:rPr>
        <w:t xml:space="preserve">  . O acessório ATR A225 tem o diamante como superfície de reflexão que apresenta alto índice de reflectividade.</w:t>
      </w:r>
    </w:p>
    <w:p w14:paraId="4C84B57F" w14:textId="36D54CCC" w:rsidR="00F76FE8" w:rsidRPr="009D4606" w:rsidRDefault="00C22DD1" w:rsidP="009D4606">
      <w:pPr>
        <w:spacing w:line="360" w:lineRule="auto"/>
        <w:jc w:val="both"/>
        <w:rPr>
          <w:rFonts w:ascii="Times New Roman" w:hAnsi="Times New Roman" w:cs="Times New Roman"/>
          <w:sz w:val="20"/>
          <w:szCs w:val="20"/>
        </w:rPr>
      </w:pPr>
      <w:r>
        <w:rPr>
          <w:noProof/>
          <w:color w:val="FFFFFF" w:themeColor="background1"/>
          <w:sz w:val="24"/>
          <w:szCs w:val="24"/>
          <w:lang w:eastAsia="pt-BR"/>
        </w:rPr>
        <mc:AlternateContent>
          <mc:Choice Requires="wps">
            <w:drawing>
              <wp:anchor distT="0" distB="0" distL="114300" distR="114300" simplePos="0" relativeHeight="251667456" behindDoc="0" locked="0" layoutInCell="1" allowOverlap="1" wp14:anchorId="5FEE17C8" wp14:editId="7EA98F9C">
                <wp:simplePos x="0" y="0"/>
                <wp:positionH relativeFrom="column">
                  <wp:posOffset>3709035</wp:posOffset>
                </wp:positionH>
                <wp:positionV relativeFrom="paragraph">
                  <wp:posOffset>1425575</wp:posOffset>
                </wp:positionV>
                <wp:extent cx="228600" cy="266700"/>
                <wp:effectExtent l="0" t="0" r="0" b="0"/>
                <wp:wrapNone/>
                <wp:docPr id="15" name="Caixa de texto 15"/>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2EF92" w14:textId="77777777" w:rsidR="00C22DD1" w:rsidRPr="00672A9C" w:rsidRDefault="00C22DD1" w:rsidP="00C22DD1">
                            <w:pPr>
                              <w:rPr>
                                <w:b/>
                                <w:sz w:val="28"/>
                                <w:szCs w:val="28"/>
                              </w:rPr>
                            </w:pPr>
                            <w:r w:rsidRPr="00672A9C">
                              <w:rPr>
                                <w:b/>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EE17C8" id="_x0000_t202" coordsize="21600,21600" o:spt="202" path="m,l,21600r21600,l21600,xe">
                <v:stroke joinstyle="miter"/>
                <v:path gradientshapeok="t" o:connecttype="rect"/>
              </v:shapetype>
              <v:shape id="Caixa de texto 15" o:spid="_x0000_s1026" type="#_x0000_t202" style="position:absolute;left:0;text-align:left;margin-left:292.05pt;margin-top:112.25pt;width:18pt;height:2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" filled="f" stroked="f" strokeweight=".5pt">
                <v:textbox>
                  <w:txbxContent>
                    <w:p w14:paraId="0A52EF92" w14:textId="77777777" w:rsidR="00C22DD1" w:rsidRPr="00672A9C" w:rsidRDefault="00C22DD1" w:rsidP="00C22DD1">
                      <w:pPr>
                        <w:rPr>
                          <w:b/>
                          <w:sz w:val="28"/>
                          <w:szCs w:val="28"/>
                        </w:rPr>
                      </w:pPr>
                      <w:r w:rsidRPr="00672A9C">
                        <w:rPr>
                          <w:b/>
                          <w:sz w:val="28"/>
                          <w:szCs w:val="28"/>
                        </w:rPr>
                        <w:t>D</w:t>
                      </w:r>
                    </w:p>
                  </w:txbxContent>
                </v:textbox>
              </v:shape>
            </w:pict>
          </mc:Fallback>
        </mc:AlternateContent>
      </w:r>
      <w:r w:rsidR="002E152A">
        <w:rPr>
          <w:noProof/>
          <w:color w:val="FFFFFF" w:themeColor="background1"/>
          <w:sz w:val="24"/>
          <w:szCs w:val="24"/>
          <w:lang w:eastAsia="pt-BR"/>
        </w:rPr>
        <mc:AlternateContent>
          <mc:Choice Requires="wps">
            <w:drawing>
              <wp:anchor distT="0" distB="0" distL="114300" distR="114300" simplePos="0" relativeHeight="251665408" behindDoc="0" locked="0" layoutInCell="1" allowOverlap="1" wp14:anchorId="6E9C6E85" wp14:editId="33BBC779">
                <wp:simplePos x="0" y="0"/>
                <wp:positionH relativeFrom="column">
                  <wp:posOffset>2499360</wp:posOffset>
                </wp:positionH>
                <wp:positionV relativeFrom="paragraph">
                  <wp:posOffset>1444625</wp:posOffset>
                </wp:positionV>
                <wp:extent cx="238125" cy="26670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2381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0125F" w14:textId="77777777" w:rsidR="002E152A" w:rsidRPr="00672A9C" w:rsidRDefault="002E152A" w:rsidP="002E152A">
                            <w:pPr>
                              <w:rPr>
                                <w:b/>
                                <w:sz w:val="28"/>
                                <w:szCs w:val="28"/>
                              </w:rPr>
                            </w:pPr>
                            <w:r w:rsidRPr="00672A9C">
                              <w:rPr>
                                <w:b/>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C6E85" id="Caixa de texto 14" o:spid="_x0000_s1027" type="#_x0000_t202" style="position:absolute;left:0;text-align:left;margin-left:196.8pt;margin-top:113.75pt;width:18.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" filled="f" stroked="f" strokeweight=".5pt">
                <v:textbox>
                  <w:txbxContent>
                    <w:p w14:paraId="70B0125F" w14:textId="77777777" w:rsidR="002E152A" w:rsidRPr="00672A9C" w:rsidRDefault="002E152A" w:rsidP="002E152A">
                      <w:pPr>
                        <w:rPr>
                          <w:b/>
                          <w:sz w:val="28"/>
                          <w:szCs w:val="28"/>
                        </w:rPr>
                      </w:pPr>
                      <w:r w:rsidRPr="00672A9C">
                        <w:rPr>
                          <w:b/>
                          <w:sz w:val="28"/>
                          <w:szCs w:val="28"/>
                        </w:rPr>
                        <w:t>C</w:t>
                      </w:r>
                    </w:p>
                  </w:txbxContent>
                </v:textbox>
              </v:shape>
            </w:pict>
          </mc:Fallback>
        </mc:AlternateContent>
      </w:r>
      <w:r w:rsidR="002E152A" w:rsidRPr="0047383C">
        <w:rPr>
          <w:noProof/>
          <w:color w:val="FFFFFF" w:themeColor="background1"/>
          <w:sz w:val="24"/>
          <w:szCs w:val="24"/>
          <w:lang w:eastAsia="pt-BR"/>
        </w:rPr>
        <mc:AlternateContent>
          <mc:Choice Requires="wps">
            <w:drawing>
              <wp:anchor distT="0" distB="0" distL="114300" distR="114300" simplePos="0" relativeHeight="251663360" behindDoc="0" locked="0" layoutInCell="1" allowOverlap="1" wp14:anchorId="770466D7" wp14:editId="5C34CF72">
                <wp:simplePos x="0" y="0"/>
                <wp:positionH relativeFrom="column">
                  <wp:posOffset>1165860</wp:posOffset>
                </wp:positionH>
                <wp:positionV relativeFrom="paragraph">
                  <wp:posOffset>1473835</wp:posOffset>
                </wp:positionV>
                <wp:extent cx="266700" cy="266700"/>
                <wp:effectExtent l="0" t="0" r="0" b="0"/>
                <wp:wrapNone/>
                <wp:docPr id="12" name="Retângulo 12"/>
                <wp:cNvGraphicFramePr/>
                <a:graphic xmlns:a="http://schemas.openxmlformats.org/drawingml/2006/main">
                  <a:graphicData uri="http://schemas.microsoft.com/office/word/2010/wordprocessingShape">
                    <wps:wsp>
                      <wps:cNvSpPr/>
                      <wps:spPr>
                        <a:xfrm>
                          <a:off x="0" y="0"/>
                          <a:ext cx="266700" cy="2667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144897D" w14:textId="77777777" w:rsidR="00F76FE8" w:rsidRPr="00672A9C" w:rsidRDefault="00F76FE8" w:rsidP="00F76FE8">
                            <w:pPr>
                              <w:jc w:val="center"/>
                              <w:rPr>
                                <w:b/>
                                <w:sz w:val="28"/>
                                <w:szCs w:val="28"/>
                              </w:rPr>
                            </w:pPr>
                            <w:r w:rsidRPr="00672A9C">
                              <w:rPr>
                                <w:b/>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0466D7" id="Retângulo 12" o:spid="_x0000_s1028" style="position:absolute;left:0;text-align:left;margin-left:91.8pt;margin-top:116.05pt;width:21pt;height:2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" filled="f" stroked="f" strokeweight="1pt">
                <v:textbox>
                  <w:txbxContent>
                    <w:p w14:paraId="4144897D" w14:textId="77777777" w:rsidR="00F76FE8" w:rsidRPr="00672A9C" w:rsidRDefault="00F76FE8" w:rsidP="00F76FE8">
                      <w:pPr>
                        <w:jc w:val="center"/>
                        <w:rPr>
                          <w:b/>
                          <w:sz w:val="28"/>
                          <w:szCs w:val="28"/>
                        </w:rPr>
                      </w:pPr>
                      <w:r w:rsidRPr="00672A9C">
                        <w:rPr>
                          <w:b/>
                          <w:sz w:val="28"/>
                          <w:szCs w:val="28"/>
                        </w:rPr>
                        <w:t>B</w:t>
                      </w:r>
                    </w:p>
                  </w:txbxContent>
                </v:textbox>
              </v:rect>
            </w:pict>
          </mc:Fallback>
        </mc:AlternateContent>
      </w:r>
      <w:r w:rsidR="00F76FE8" w:rsidRPr="0047383C">
        <w:rPr>
          <w:noProof/>
          <w:color w:val="FFFFFF" w:themeColor="background1"/>
          <w:sz w:val="24"/>
          <w:szCs w:val="24"/>
          <w:lang w:eastAsia="pt-BR"/>
        </w:rPr>
        <mc:AlternateContent>
          <mc:Choice Requires="wps">
            <w:drawing>
              <wp:anchor distT="0" distB="0" distL="114300" distR="114300" simplePos="0" relativeHeight="251661312" behindDoc="0" locked="0" layoutInCell="1" allowOverlap="1" wp14:anchorId="0BC80960" wp14:editId="414A8EF9">
                <wp:simplePos x="0" y="0"/>
                <wp:positionH relativeFrom="column">
                  <wp:posOffset>1251585</wp:posOffset>
                </wp:positionH>
                <wp:positionV relativeFrom="paragraph">
                  <wp:posOffset>1435100</wp:posOffset>
                </wp:positionV>
                <wp:extent cx="266700" cy="266700"/>
                <wp:effectExtent l="0" t="0" r="0" b="0"/>
                <wp:wrapNone/>
                <wp:docPr id="7" name="Retângulo 7"/>
                <wp:cNvGraphicFramePr/>
                <a:graphic xmlns:a="http://schemas.openxmlformats.org/drawingml/2006/main">
                  <a:graphicData uri="http://schemas.microsoft.com/office/word/2010/wordprocessingShape">
                    <wps:wsp>
                      <wps:cNvSpPr/>
                      <wps:spPr>
                        <a:xfrm>
                          <a:off x="0" y="0"/>
                          <a:ext cx="266700" cy="2667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F633E9" w14:textId="77777777" w:rsidR="00F76FE8" w:rsidRPr="00672A9C" w:rsidRDefault="00F76FE8" w:rsidP="00F76FE8">
                            <w:pPr>
                              <w:jc w:val="center"/>
                              <w:rPr>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C80960" id="Retângulo 7" o:spid="_x0000_s1029" style="position:absolute;left:0;text-align:left;margin-left:98.55pt;margin-top:113pt;width:21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" filled="f" stroked="f" strokeweight="1pt">
                <v:textbox>
                  <w:txbxContent>
                    <w:p w14:paraId="61F633E9" w14:textId="77777777" w:rsidR="00F76FE8" w:rsidRPr="00672A9C" w:rsidRDefault="00F76FE8" w:rsidP="00F76FE8">
                      <w:pPr>
                        <w:jc w:val="center"/>
                        <w:rPr>
                          <w:b/>
                          <w:sz w:val="28"/>
                          <w:szCs w:val="28"/>
                        </w:rPr>
                      </w:pPr>
                    </w:p>
                  </w:txbxContent>
                </v:textbox>
              </v:rect>
            </w:pict>
          </mc:Fallback>
        </mc:AlternateContent>
      </w:r>
      <w:r w:rsidR="00F76FE8" w:rsidRPr="0047383C">
        <w:rPr>
          <w:noProof/>
          <w:sz w:val="24"/>
          <w:szCs w:val="24"/>
          <w:lang w:eastAsia="pt-BR"/>
        </w:rPr>
        <mc:AlternateContent>
          <mc:Choice Requires="wps">
            <w:drawing>
              <wp:anchor distT="0" distB="0" distL="114300" distR="114300" simplePos="0" relativeHeight="251659264" behindDoc="0" locked="0" layoutInCell="1" allowOverlap="1" wp14:anchorId="150C9AB7" wp14:editId="65EB142F">
                <wp:simplePos x="0" y="0"/>
                <wp:positionH relativeFrom="margin">
                  <wp:align>left</wp:align>
                </wp:positionH>
                <wp:positionV relativeFrom="paragraph">
                  <wp:posOffset>1444625</wp:posOffset>
                </wp:positionV>
                <wp:extent cx="247650" cy="276225"/>
                <wp:effectExtent l="0" t="0" r="0" b="0"/>
                <wp:wrapNone/>
                <wp:docPr id="8" name="Retângulo 8"/>
                <wp:cNvGraphicFramePr/>
                <a:graphic xmlns:a="http://schemas.openxmlformats.org/drawingml/2006/main">
                  <a:graphicData uri="http://schemas.microsoft.com/office/word/2010/wordprocessingShape">
                    <wps:wsp>
                      <wps:cNvSpPr/>
                      <wps:spPr>
                        <a:xfrm>
                          <a:off x="0" y="0"/>
                          <a:ext cx="247650" cy="2762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6F43C26" w14:textId="77777777" w:rsidR="00F76FE8" w:rsidRPr="00672A9C" w:rsidRDefault="00F76FE8" w:rsidP="00F76FE8">
                            <w:pPr>
                              <w:jc w:val="center"/>
                              <w:rPr>
                                <w:b/>
                                <w:color w:val="FFFFFF" w:themeColor="background1"/>
                                <w:sz w:val="28"/>
                                <w:szCs w:val="28"/>
                              </w:rPr>
                            </w:pPr>
                            <w:r w:rsidRPr="00672A9C">
                              <w:rPr>
                                <w:b/>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C9AB7" id="Retângulo 8" o:spid="_x0000_s1030" style="position:absolute;left:0;text-align:left;margin-left:0;margin-top:113.75pt;width:19.5pt;height:21.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" filled="f" stroked="f" strokeweight="1pt">
                <v:textbox>
                  <w:txbxContent>
                    <w:p w14:paraId="16F43C26" w14:textId="77777777" w:rsidR="00F76FE8" w:rsidRPr="00672A9C" w:rsidRDefault="00F76FE8" w:rsidP="00F76FE8">
                      <w:pPr>
                        <w:jc w:val="center"/>
                        <w:rPr>
                          <w:b/>
                          <w:color w:val="FFFFFF" w:themeColor="background1"/>
                          <w:sz w:val="28"/>
                          <w:szCs w:val="28"/>
                        </w:rPr>
                      </w:pPr>
                      <w:r w:rsidRPr="00672A9C">
                        <w:rPr>
                          <w:b/>
                          <w:sz w:val="28"/>
                          <w:szCs w:val="28"/>
                        </w:rPr>
                        <w:t>A</w:t>
                      </w:r>
                    </w:p>
                  </w:txbxContent>
                </v:textbox>
                <w10:wrap anchorx="margin"/>
              </v:rect>
            </w:pict>
          </mc:Fallback>
        </mc:AlternateContent>
      </w:r>
      <w:r w:rsidR="00F76FE8" w:rsidRPr="0047383C">
        <w:rPr>
          <w:noProof/>
          <w:sz w:val="24"/>
          <w:szCs w:val="24"/>
          <w:lang w:eastAsia="pt-BR"/>
        </w:rPr>
        <w:drawing>
          <wp:inline distT="0" distB="0" distL="0" distR="0" wp14:anchorId="498A47CB" wp14:editId="58F11FA5">
            <wp:extent cx="1200150" cy="1750060"/>
            <wp:effectExtent l="0" t="0" r="0" b="2540"/>
            <wp:docPr id="6" name="Imagem 10" descr="C:\Users\IRAN\Desktop\22711621_1611534768892824_1910666580_n.jpg"/>
            <wp:cNvGraphicFramePr/>
            <a:graphic xmlns:a="http://schemas.openxmlformats.org/drawingml/2006/main">
              <a:graphicData uri="http://schemas.openxmlformats.org/drawingml/2006/picture">
                <pic:pic xmlns:pic="http://schemas.openxmlformats.org/drawingml/2006/picture">
                  <pic:nvPicPr>
                    <pic:cNvPr id="11" name="Imagem 10" descr="C:\Users\IRAN\Desktop\22711621_1611534768892824_1910666580_n.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783" cy="1762648"/>
                    </a:xfrm>
                    <a:prstGeom prst="rect">
                      <a:avLst/>
                    </a:prstGeom>
                    <a:noFill/>
                    <a:ln>
                      <a:noFill/>
                    </a:ln>
                  </pic:spPr>
                </pic:pic>
              </a:graphicData>
            </a:graphic>
          </wp:inline>
        </w:drawing>
      </w:r>
      <w:r w:rsidR="00F76FE8" w:rsidRPr="00F76FE8">
        <w:rPr>
          <w:noProof/>
          <w:color w:val="FFFFFF" w:themeColor="background1"/>
          <w:sz w:val="24"/>
          <w:szCs w:val="24"/>
          <w:lang w:eastAsia="pt-BR"/>
        </w:rPr>
        <w:t xml:space="preserve"> </w:t>
      </w:r>
      <w:r w:rsidR="00F76FE8" w:rsidRPr="0047383C">
        <w:rPr>
          <w:noProof/>
          <w:sz w:val="24"/>
          <w:szCs w:val="24"/>
          <w:lang w:eastAsia="pt-BR"/>
        </w:rPr>
        <w:drawing>
          <wp:inline distT="0" distB="0" distL="0" distR="0" wp14:anchorId="021065F2" wp14:editId="4A239967">
            <wp:extent cx="1209675" cy="1749425"/>
            <wp:effectExtent l="0" t="0" r="9525" b="3175"/>
            <wp:docPr id="9" name="Espaço Reservado para Conteúdo 8" descr="C:\Users\IRAN\Desktop\artigos para discussão\22684773_1609179459128355_28876339_n.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9" name="Espaço Reservado para Conteúdo 8" descr="C:\Users\IRAN\Desktop\artigos para discussão\22684773_1609179459128355_28876339_n.jpg"/>
                    <pic:cNvPicPr>
                      <a:picLocks noGr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5954" cy="1772968"/>
                    </a:xfrm>
                    <a:prstGeom prst="rect">
                      <a:avLst/>
                    </a:prstGeom>
                    <a:noFill/>
                    <a:ln>
                      <a:noFill/>
                    </a:ln>
                  </pic:spPr>
                </pic:pic>
              </a:graphicData>
            </a:graphic>
          </wp:inline>
        </w:drawing>
      </w:r>
      <w:r w:rsidR="002E152A" w:rsidRPr="002E152A">
        <w:rPr>
          <w:noProof/>
          <w:color w:val="FFFFFF" w:themeColor="background1"/>
          <w:sz w:val="24"/>
          <w:szCs w:val="24"/>
          <w:lang w:eastAsia="pt-BR"/>
        </w:rPr>
        <w:t xml:space="preserve"> </w:t>
      </w:r>
      <w:r w:rsidR="00F76FE8" w:rsidRPr="0047383C">
        <w:rPr>
          <w:noProof/>
          <w:sz w:val="24"/>
          <w:szCs w:val="24"/>
          <w:lang w:eastAsia="pt-BR"/>
        </w:rPr>
        <w:drawing>
          <wp:inline distT="0" distB="0" distL="0" distR="0" wp14:anchorId="58BFE166" wp14:editId="5436FD44">
            <wp:extent cx="1190625" cy="1752600"/>
            <wp:effectExtent l="0" t="0" r="9525" b="0"/>
            <wp:docPr id="10" name="Imagem 9" descr="C:\Users\IRAN\Desktop\artigos para discussão\22686655_1609179915794976_851076955_n.jpg"/>
            <wp:cNvGraphicFramePr/>
            <a:graphic xmlns:a="http://schemas.openxmlformats.org/drawingml/2006/main">
              <a:graphicData uri="http://schemas.openxmlformats.org/drawingml/2006/picture">
                <pic:pic xmlns:pic="http://schemas.openxmlformats.org/drawingml/2006/picture">
                  <pic:nvPicPr>
                    <pic:cNvPr id="10" name="Imagem 9" descr="C:\Users\IRAN\Desktop\artigos para discussão\22686655_1609179915794976_851076955_n.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0937" cy="1753059"/>
                    </a:xfrm>
                    <a:prstGeom prst="rect">
                      <a:avLst/>
                    </a:prstGeom>
                    <a:noFill/>
                    <a:ln>
                      <a:noFill/>
                    </a:ln>
                  </pic:spPr>
                </pic:pic>
              </a:graphicData>
            </a:graphic>
          </wp:inline>
        </w:drawing>
      </w:r>
      <w:r w:rsidRPr="00C22DD1">
        <w:rPr>
          <w:noProof/>
          <w:color w:val="FFFFFF" w:themeColor="background1"/>
          <w:sz w:val="24"/>
          <w:szCs w:val="24"/>
          <w:lang w:eastAsia="pt-BR"/>
        </w:rPr>
        <w:t xml:space="preserve"> </w:t>
      </w:r>
      <w:r w:rsidR="00F76FE8" w:rsidRPr="0047383C">
        <w:rPr>
          <w:noProof/>
          <w:sz w:val="24"/>
          <w:szCs w:val="24"/>
          <w:lang w:eastAsia="pt-BR"/>
        </w:rPr>
        <w:drawing>
          <wp:inline distT="0" distB="0" distL="0" distR="0" wp14:anchorId="40D83229" wp14:editId="4109170D">
            <wp:extent cx="1752600" cy="1743710"/>
            <wp:effectExtent l="0" t="0" r="0" b="8890"/>
            <wp:docPr id="5430" name="Picture 310" descr="C:\Users\IRAN\Desktop\28829171_1754459684600331_254983201_n.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430" name="Picture 310" descr="C:\Users\IRAN\Desktop\28829171_1754459684600331_254983201_n.jpg"/>
                    <pic:cNvPicPr>
                      <a:picLocks noGrp="1"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2519" cy="1793376"/>
                    </a:xfrm>
                    <a:prstGeom prst="rect">
                      <a:avLst/>
                    </a:prstGeom>
                    <a:noFill/>
                    <a:extLst/>
                  </pic:spPr>
                </pic:pic>
              </a:graphicData>
            </a:graphic>
          </wp:inline>
        </w:drawing>
      </w:r>
    </w:p>
    <w:p w14:paraId="55EF7870" w14:textId="77777777" w:rsidR="009D4606" w:rsidRPr="009D4606" w:rsidRDefault="009D4606" w:rsidP="00406676">
      <w:pPr>
        <w:spacing w:line="360" w:lineRule="auto"/>
        <w:jc w:val="center"/>
        <w:rPr>
          <w:rFonts w:ascii="Times New Roman" w:hAnsi="Times New Roman" w:cs="Times New Roman"/>
          <w:sz w:val="20"/>
          <w:szCs w:val="20"/>
        </w:rPr>
      </w:pPr>
      <w:r w:rsidRPr="009D4606">
        <w:rPr>
          <w:rFonts w:ascii="Times New Roman" w:hAnsi="Times New Roman" w:cs="Times New Roman"/>
          <w:sz w:val="20"/>
          <w:szCs w:val="20"/>
        </w:rPr>
        <w:t>Figura2 A-Armazenamento das amostras; B-Corte das amostras; C-Amostra no ATR; D-Espectrômetro Mir</w:t>
      </w:r>
    </w:p>
    <w:p w14:paraId="2BD26D93" w14:textId="1C471B8F" w:rsidR="009D4606" w:rsidRPr="009D4606" w:rsidRDefault="009D4606" w:rsidP="0040667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Os dados foram analisados nos softwares Excel, Origin.Pro8.0 e MInitab. Os dados espectrais foram coletados em triplicata. Antes da colocação de cada amostra no aparelho, procedeu-se com o “Background” e só após foi colocada a amostra fazendo-se leve pressão para obtenção de maior contato entre a amostra e o cristal. Antes e depois de cada análise o cristal ATR foi limpo com tecido de celulose macio embebido em n-hexano e posteriormente em acetona.</w:t>
      </w:r>
      <w:r w:rsidR="00406676">
        <w:rPr>
          <w:rFonts w:ascii="Times New Roman" w:hAnsi="Times New Roman" w:cs="Times New Roman"/>
          <w:sz w:val="20"/>
          <w:szCs w:val="20"/>
        </w:rPr>
        <w:t xml:space="preserve"> </w:t>
      </w:r>
      <w:r w:rsidRPr="009D4606">
        <w:rPr>
          <w:rFonts w:ascii="Times New Roman" w:hAnsi="Times New Roman" w:cs="Times New Roman"/>
          <w:sz w:val="20"/>
          <w:szCs w:val="20"/>
        </w:rPr>
        <w:t>A radiação produzida em forma de feixe de luz penetrou a superfície da amostra (0,5µm - 5 µm), quando houve absorção de energia por meio de múltiplas reflexões ao longo da amostra e produziu-se o espectro de absorção da amostra.</w:t>
      </w:r>
    </w:p>
    <w:p w14:paraId="42C25A52" w14:textId="77777777" w:rsidR="009D4606" w:rsidRPr="009D4606" w:rsidRDefault="009D4606" w:rsidP="0040667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ANÁLISE DE COMPONENTE PRINCIPAL (PCA)</w:t>
      </w:r>
    </w:p>
    <w:p w14:paraId="0743CF8B" w14:textId="350FE54A" w:rsidR="009D4606" w:rsidRPr="009D4606" w:rsidRDefault="009D4606" w:rsidP="00406676">
      <w:pPr>
        <w:spacing w:line="360" w:lineRule="auto"/>
        <w:jc w:val="both"/>
        <w:rPr>
          <w:rFonts w:ascii="Times New Roman" w:hAnsi="Times New Roman" w:cs="Times New Roman"/>
          <w:sz w:val="20"/>
          <w:szCs w:val="20"/>
        </w:rPr>
      </w:pPr>
      <w:r w:rsidRPr="009D4606">
        <w:rPr>
          <w:rFonts w:ascii="Times New Roman" w:hAnsi="Times New Roman" w:cs="Times New Roman"/>
          <w:sz w:val="20"/>
          <w:szCs w:val="20"/>
        </w:rPr>
        <w:t>Para um estudo mais apurado dos espectros e das avaliações das alterações ocorridas com a adição do óleo no queijo, utilizou-se uma ferramenta matemática que avaliou de modo mais criterioso o conjunto de informações geradas. Assim, utilizou-se a quimiometria com a Análise de Componente Principal (PCA) que converteu o conjunto de observações em um conjunto de dados variáveis linearmente não correlacionados chamadas de componentes principais. Neste estudo foram utilizadas os espectros do óleo puro, da manteiga de garrafa pura, massa láctea (queijo sem gordura) e as amostras com e sem fraude.</w:t>
      </w:r>
    </w:p>
    <w:p w14:paraId="091FD9D6" w14:textId="7931D316" w:rsidR="00D53E2B" w:rsidRPr="00222FA7" w:rsidRDefault="00D53E2B" w:rsidP="00406676">
      <w:pPr>
        <w:spacing w:line="360" w:lineRule="auto"/>
        <w:jc w:val="both"/>
        <w:rPr>
          <w:rFonts w:ascii="Times New Roman" w:hAnsi="Times New Roman" w:cs="Times New Roman"/>
          <w:b/>
          <w:bCs/>
        </w:rPr>
      </w:pPr>
      <w:r w:rsidRPr="00222FA7">
        <w:rPr>
          <w:rFonts w:ascii="Times New Roman" w:hAnsi="Times New Roman" w:cs="Times New Roman"/>
          <w:b/>
          <w:bCs/>
        </w:rPr>
        <w:t>Resultados e discussão</w:t>
      </w:r>
    </w:p>
    <w:p w14:paraId="03403C29" w14:textId="77777777" w:rsidR="000B65BB" w:rsidRPr="00406676" w:rsidRDefault="000B65BB" w:rsidP="00406676">
      <w:pPr>
        <w:pStyle w:val="NormalWeb"/>
        <w:shd w:val="clear" w:color="auto" w:fill="FFFFFF"/>
        <w:spacing w:line="360" w:lineRule="auto"/>
        <w:jc w:val="both"/>
        <w:rPr>
          <w:bCs/>
          <w:color w:val="000000"/>
          <w:sz w:val="20"/>
          <w:szCs w:val="20"/>
        </w:rPr>
      </w:pPr>
      <w:r w:rsidRPr="00406676">
        <w:rPr>
          <w:bCs/>
          <w:color w:val="000000"/>
          <w:sz w:val="20"/>
          <w:szCs w:val="20"/>
        </w:rPr>
        <w:t>ESPECTROSCOPIA INFRAVERMELHO POR REFLECTÂNCIA TOTAL ATENUADA</w:t>
      </w:r>
    </w:p>
    <w:p w14:paraId="5250A0D9" w14:textId="77777777" w:rsidR="000B65BB" w:rsidRPr="00406676" w:rsidRDefault="000B65BB" w:rsidP="00406676">
      <w:pPr>
        <w:pStyle w:val="NormalWeb"/>
        <w:shd w:val="clear" w:color="auto" w:fill="FFFFFF"/>
        <w:spacing w:line="360" w:lineRule="auto"/>
        <w:jc w:val="both"/>
        <w:rPr>
          <w:bCs/>
          <w:color w:val="000000"/>
          <w:sz w:val="20"/>
          <w:szCs w:val="20"/>
        </w:rPr>
      </w:pPr>
      <w:r w:rsidRPr="00406676">
        <w:rPr>
          <w:bCs/>
          <w:color w:val="000000"/>
          <w:sz w:val="20"/>
          <w:szCs w:val="20"/>
        </w:rPr>
        <w:lastRenderedPageBreak/>
        <w:t>O espectro Infravermelho apresentou duas faixas de número de ondas, nas quais encontrou-se os principais picos de absorbância em queijos. Estas ficaram entre 3650 a 2750 cm</w:t>
      </w:r>
      <w:r w:rsidRPr="00406676">
        <w:rPr>
          <w:bCs/>
          <w:color w:val="000000"/>
          <w:sz w:val="20"/>
          <w:szCs w:val="20"/>
          <w:vertAlign w:val="superscript"/>
        </w:rPr>
        <w:t>-1</w:t>
      </w:r>
      <w:r w:rsidRPr="00406676">
        <w:rPr>
          <w:bCs/>
          <w:color w:val="000000"/>
          <w:sz w:val="20"/>
          <w:szCs w:val="20"/>
        </w:rPr>
        <w:t xml:space="preserve">  e de 1800 a 625 cm</w:t>
      </w:r>
      <w:r w:rsidRPr="005F340C">
        <w:rPr>
          <w:bCs/>
          <w:color w:val="000000"/>
          <w:sz w:val="20"/>
          <w:szCs w:val="20"/>
          <w:vertAlign w:val="superscript"/>
        </w:rPr>
        <w:t>-1</w:t>
      </w:r>
      <w:r w:rsidRPr="00406676">
        <w:rPr>
          <w:bCs/>
          <w:color w:val="000000"/>
          <w:sz w:val="20"/>
          <w:szCs w:val="20"/>
        </w:rPr>
        <w:t xml:space="preserve">  . Estas faixas foram estudas e discutidas por outros autores que estudaram outros tipos de queijos (SUBRAMANIAN,2011).</w:t>
      </w:r>
    </w:p>
    <w:p w14:paraId="4A59A4E7" w14:textId="116DBDF3" w:rsidR="00AB4040" w:rsidRPr="00406676" w:rsidRDefault="000B65BB" w:rsidP="00406676">
      <w:pPr>
        <w:pStyle w:val="NormalWeb"/>
        <w:shd w:val="clear" w:color="auto" w:fill="FFFFFF"/>
        <w:spacing w:line="360" w:lineRule="auto"/>
        <w:jc w:val="both"/>
        <w:rPr>
          <w:bCs/>
          <w:color w:val="000000"/>
          <w:sz w:val="20"/>
          <w:szCs w:val="20"/>
        </w:rPr>
      </w:pPr>
      <w:r w:rsidRPr="00406676">
        <w:rPr>
          <w:bCs/>
          <w:color w:val="000000"/>
          <w:sz w:val="20"/>
          <w:szCs w:val="20"/>
        </w:rPr>
        <w:t>Na figura 3, está apresentado o espectro das amostras do queijo de manteiga sem nenhum tipo de gordura (apenas a massa láctea fundida), o queijo de manteiga sem adulteração e os amostras com substituição da manteiga de garrafa por óleo nas proporções de 10 a 100% de substituição. Nesta figura ainda verificamos as regiões referentes a água, representadas pelo grupo O-H; a região das lipídios representados pelos grupos C-H, CH2, CH3, C=O, COO, COOH; as proteínas são representadas pelas Amidas I (C=O, C-N) e Amida II (N-H, C-N) e as regiões dos ácidos graxos insaturados e poli-insaturados representados pelas ligações –C=C-H (cis) e –HC=CH-(cis) (BARBOSA,2007; SAUER-LEAL,2008; KADAMNE,2009; KOCA,2009).</w:t>
      </w:r>
    </w:p>
    <w:p w14:paraId="04AC9D40" w14:textId="6D1962A2" w:rsidR="000B65BB" w:rsidRPr="00AB4040" w:rsidRDefault="000B65BB" w:rsidP="000B65BB">
      <w:pPr>
        <w:pStyle w:val="NormalWeb"/>
        <w:shd w:val="clear" w:color="auto" w:fill="FFFFFF"/>
        <w:spacing w:line="360" w:lineRule="auto"/>
        <w:jc w:val="center"/>
        <w:rPr>
          <w:color w:val="000000"/>
          <w:sz w:val="20"/>
          <w:szCs w:val="20"/>
        </w:rPr>
      </w:pPr>
      <w:r w:rsidRPr="00E33282">
        <w:rPr>
          <w:noProof/>
        </w:rPr>
        <w:drawing>
          <wp:inline distT="0" distB="0" distL="0" distR="0" wp14:anchorId="01E9DE83" wp14:editId="035FBABA">
            <wp:extent cx="6120130" cy="3708513"/>
            <wp:effectExtent l="0" t="0" r="0" b="63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3708513"/>
                    </a:xfrm>
                    <a:prstGeom prst="rect">
                      <a:avLst/>
                    </a:prstGeom>
                    <a:solidFill>
                      <a:schemeClr val="bg1"/>
                    </a:solidFill>
                    <a:ln>
                      <a:noFill/>
                    </a:ln>
                    <a:effectLst/>
                  </pic:spPr>
                </pic:pic>
              </a:graphicData>
            </a:graphic>
          </wp:inline>
        </w:drawing>
      </w:r>
    </w:p>
    <w:p w14:paraId="1DC6C434" w14:textId="70E5165F" w:rsid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Figura 3 Espectro infravermelho das amostras (Massa láctea, Queijo de manteiga Sem adulteração e amostras com 10 a 100% de substituição)</w:t>
      </w:r>
      <w:r>
        <w:rPr>
          <w:rFonts w:ascii="Times New Roman" w:eastAsia="Times New Roman" w:hAnsi="Times New Roman" w:cs="Times New Roman"/>
          <w:color w:val="000000"/>
          <w:sz w:val="20"/>
          <w:szCs w:val="20"/>
          <w:lang w:eastAsia="pt-BR"/>
        </w:rPr>
        <w:t>.</w:t>
      </w:r>
    </w:p>
    <w:p w14:paraId="39DBCC6F" w14:textId="77777777" w:rsidR="00426C05" w:rsidRDefault="00426C05" w:rsidP="000B65BB">
      <w:pPr>
        <w:spacing w:line="360" w:lineRule="auto"/>
        <w:jc w:val="both"/>
        <w:rPr>
          <w:rFonts w:ascii="Times New Roman" w:eastAsia="Times New Roman" w:hAnsi="Times New Roman" w:cs="Times New Roman"/>
          <w:color w:val="000000"/>
          <w:sz w:val="20"/>
          <w:szCs w:val="20"/>
          <w:lang w:eastAsia="pt-BR"/>
        </w:rPr>
      </w:pPr>
    </w:p>
    <w:p w14:paraId="1B8B5010" w14:textId="77777777" w:rsidR="000B65BB" w:rsidRP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TIPIFICAÇÃO DAS ALTERAÇÕES</w:t>
      </w:r>
    </w:p>
    <w:p w14:paraId="4A8B4144" w14:textId="77777777" w:rsidR="000B65BB" w:rsidRP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1 REGIÃO DA ÁGUA</w:t>
      </w:r>
    </w:p>
    <w:p w14:paraId="5B53A42B" w14:textId="77777777" w:rsidR="000B65BB" w:rsidRP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De acordo com Foda et Al., (2013) A região entre 3600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a 3050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é caracterizada pelo movimento de estiramento O-H do grupo hidroxila e está relacionada com o conteúdo de água em queijos, apresentando-se em forma de sino. Pode-se observar que apenas a massa láctea e o queijo sem fraude apresentaram esse formato. As amostras de queijo fraudadas com óleo vegetal apresentaram uma diminuição na intensidade desta região. Este fato pode ser explicado devido ao óleo </w:t>
      </w:r>
      <w:r w:rsidRPr="000B65BB">
        <w:rPr>
          <w:rFonts w:ascii="Times New Roman" w:eastAsia="Times New Roman" w:hAnsi="Times New Roman" w:cs="Times New Roman"/>
          <w:color w:val="000000"/>
          <w:sz w:val="20"/>
          <w:szCs w:val="20"/>
          <w:lang w:eastAsia="pt-BR"/>
        </w:rPr>
        <w:lastRenderedPageBreak/>
        <w:t>quando exposto a altas temperaturas, o calor é transferido do óleo para o alimento e então a água do alimento evapora (REDA; CARNEIRO,2007).</w:t>
      </w:r>
    </w:p>
    <w:p w14:paraId="32CDF6FD" w14:textId="77777777" w:rsidR="000B65BB" w:rsidRP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2 REGIÃO DAS PROTEÍNAS</w:t>
      </w:r>
    </w:p>
    <w:p w14:paraId="580CE70F" w14:textId="22891AEF" w:rsidR="000B65BB" w:rsidRDefault="000B65BB" w:rsidP="000B65BB">
      <w:pPr>
        <w:spacing w:line="360" w:lineRule="auto"/>
        <w:jc w:val="both"/>
        <w:rPr>
          <w:rFonts w:ascii="Times New Roman" w:eastAsia="Times New Roman" w:hAnsi="Times New Roman" w:cs="Times New Roman"/>
          <w:color w:val="000000"/>
          <w:sz w:val="20"/>
          <w:szCs w:val="20"/>
          <w:lang w:eastAsia="pt-BR"/>
        </w:rPr>
      </w:pPr>
      <w:r w:rsidRPr="000B65BB">
        <w:rPr>
          <w:rFonts w:ascii="Times New Roman" w:eastAsia="Times New Roman" w:hAnsi="Times New Roman" w:cs="Times New Roman"/>
          <w:color w:val="000000"/>
          <w:sz w:val="20"/>
          <w:szCs w:val="20"/>
          <w:lang w:eastAsia="pt-BR"/>
        </w:rPr>
        <w:t>Na região entre 1700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e 1500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 caracteriza a região das proteínas. No queijo de manteiga, encontrou-se o pico em 1641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representando a Amida I e o pico em 1549 cm</w:t>
      </w:r>
      <w:r w:rsidRPr="005F340C">
        <w:rPr>
          <w:rFonts w:ascii="Times New Roman" w:eastAsia="Times New Roman" w:hAnsi="Times New Roman" w:cs="Times New Roman"/>
          <w:color w:val="000000"/>
          <w:sz w:val="20"/>
          <w:szCs w:val="20"/>
          <w:vertAlign w:val="superscript"/>
          <w:lang w:eastAsia="pt-BR"/>
        </w:rPr>
        <w:t>-1</w:t>
      </w:r>
      <w:r w:rsidRPr="000B65BB">
        <w:rPr>
          <w:rFonts w:ascii="Times New Roman" w:eastAsia="Times New Roman" w:hAnsi="Times New Roman" w:cs="Times New Roman"/>
          <w:color w:val="000000"/>
          <w:sz w:val="20"/>
          <w:szCs w:val="20"/>
          <w:lang w:eastAsia="pt-BR"/>
        </w:rPr>
        <w:t xml:space="preserve">  representando a Amida II, caracterizados pelas vibrações de estiramento do grupo C=O, C-N e N-H, C-N respectivamente (MARTÍN-DEL-CAMPO 2007; BARBOSA,2007). Verificou-se que o pico de proteína da massa láctea é o de maior intensidade, explicado pela falta de gordura. O segundo pico em intensidade é do queijo de manteiga sem fraude. Pode-se observar também que apenas 10% de substituição da manteiga por óleo é o suficiente para diminuir o conteúdo proteico significativamente. E com o aumento da fraude, o conteúdo proteico vai diminuindo gradativamente.</w:t>
      </w:r>
    </w:p>
    <w:p w14:paraId="713C4995" w14:textId="30DFC044" w:rsidR="000B65BB" w:rsidRPr="000B65BB" w:rsidRDefault="000B65BB" w:rsidP="000B65BB">
      <w:pPr>
        <w:spacing w:line="360" w:lineRule="auto"/>
        <w:jc w:val="center"/>
        <w:rPr>
          <w:rFonts w:ascii="Times New Roman" w:eastAsia="Times New Roman" w:hAnsi="Times New Roman" w:cs="Times New Roman"/>
          <w:color w:val="000000"/>
          <w:sz w:val="20"/>
          <w:szCs w:val="20"/>
          <w:lang w:eastAsia="pt-BR"/>
        </w:rPr>
      </w:pPr>
      <w:r w:rsidRPr="00B17F2A">
        <w:rPr>
          <w:noProof/>
          <w:sz w:val="24"/>
          <w:szCs w:val="24"/>
          <w:lang w:eastAsia="pt-BR"/>
        </w:rPr>
        <w:drawing>
          <wp:inline distT="0" distB="0" distL="0" distR="0" wp14:anchorId="12DFB0EB" wp14:editId="2A92F466">
            <wp:extent cx="5742420" cy="42672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9335" cy="4361510"/>
                    </a:xfrm>
                    <a:prstGeom prst="rect">
                      <a:avLst/>
                    </a:prstGeom>
                    <a:noFill/>
                    <a:ln>
                      <a:noFill/>
                    </a:ln>
                  </pic:spPr>
                </pic:pic>
              </a:graphicData>
            </a:graphic>
          </wp:inline>
        </w:drawing>
      </w:r>
    </w:p>
    <w:p w14:paraId="7B3573D6" w14:textId="77777777" w:rsidR="000B65BB" w:rsidRPr="005F340C" w:rsidRDefault="000B65BB" w:rsidP="000B65BB">
      <w:pPr>
        <w:spacing w:line="360" w:lineRule="auto"/>
        <w:rPr>
          <w:rFonts w:ascii="Times New Roman" w:hAnsi="Times New Roman" w:cs="Times New Roman"/>
          <w:bCs/>
          <w:sz w:val="20"/>
          <w:szCs w:val="20"/>
        </w:rPr>
      </w:pPr>
      <w:r w:rsidRPr="005F340C">
        <w:rPr>
          <w:rFonts w:ascii="Times New Roman" w:hAnsi="Times New Roman" w:cs="Times New Roman"/>
          <w:bCs/>
          <w:sz w:val="20"/>
          <w:szCs w:val="20"/>
        </w:rPr>
        <w:t>3 REGIÃO DOS LIPÍDIOS</w:t>
      </w:r>
    </w:p>
    <w:p w14:paraId="23F4C7B8" w14:textId="77777777" w:rsidR="000B65BB" w:rsidRPr="005F340C" w:rsidRDefault="000B65BB" w:rsidP="000B65BB">
      <w:pPr>
        <w:spacing w:line="360" w:lineRule="auto"/>
        <w:jc w:val="both"/>
        <w:rPr>
          <w:rFonts w:ascii="Times New Roman" w:hAnsi="Times New Roman" w:cs="Times New Roman"/>
          <w:bCs/>
          <w:sz w:val="20"/>
          <w:szCs w:val="20"/>
        </w:rPr>
      </w:pPr>
      <w:r w:rsidRPr="005F340C">
        <w:rPr>
          <w:rFonts w:ascii="Times New Roman" w:hAnsi="Times New Roman" w:cs="Times New Roman"/>
          <w:bCs/>
          <w:sz w:val="20"/>
          <w:szCs w:val="20"/>
        </w:rPr>
        <w:t>Em queijos, o intervalo entre 3100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a 2800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é caracterizado por bandas de absorção com estiramento simétrico e assimétrico de moléculas de C-H, associadas ao grupo metil e metileno, caracterizando a região dos lipídios (CUIBUS, 2015). No queijo de manteiga, esses picos localizaram-se em 2922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e 2852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e ficaram bem próximo aos picos encontrados por Karoui et Al., (2005) que estudaram o queijo Emmental produzido no inverno (com mais gordura). Estes encontraram os picos 2915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e 2846 cm</w:t>
      </w:r>
      <w:r w:rsidRPr="005F340C">
        <w:rPr>
          <w:rFonts w:ascii="Times New Roman" w:hAnsi="Times New Roman" w:cs="Times New Roman"/>
          <w:bCs/>
          <w:sz w:val="20"/>
          <w:szCs w:val="20"/>
          <w:vertAlign w:val="superscript"/>
        </w:rPr>
        <w:t>-1</w:t>
      </w:r>
      <w:r w:rsidRPr="005F340C">
        <w:rPr>
          <w:rFonts w:ascii="Times New Roman" w:hAnsi="Times New Roman" w:cs="Times New Roman"/>
          <w:bCs/>
          <w:sz w:val="20"/>
          <w:szCs w:val="20"/>
        </w:rPr>
        <w:t xml:space="preserve">  , bem parecido com os picos encontrados no queijo de manteiga. Pode-se observar na figura do espectro que com a adição do óleo vegetal o pico se mantem na mesma localização, no entanto a intensidade desses picos aumentam.</w:t>
      </w:r>
    </w:p>
    <w:p w14:paraId="64915DB6" w14:textId="77777777" w:rsidR="000B65BB" w:rsidRDefault="000B65BB" w:rsidP="000B65BB">
      <w:pPr>
        <w:spacing w:line="360" w:lineRule="auto"/>
        <w:jc w:val="both"/>
        <w:rPr>
          <w:rFonts w:ascii="Times New Roman" w:hAnsi="Times New Roman" w:cs="Times New Roman"/>
          <w:sz w:val="20"/>
          <w:szCs w:val="20"/>
        </w:rPr>
      </w:pPr>
      <w:r w:rsidRPr="000B65BB">
        <w:rPr>
          <w:rFonts w:ascii="Times New Roman" w:hAnsi="Times New Roman" w:cs="Times New Roman"/>
          <w:sz w:val="20"/>
          <w:szCs w:val="20"/>
        </w:rPr>
        <w:t>4 REGIÃO DOS ÁCIDOS GRAXOS POLI-INSATURADOS.</w:t>
      </w:r>
    </w:p>
    <w:p w14:paraId="280B97F5" w14:textId="1CB31C6E" w:rsidR="00EB5535" w:rsidRDefault="000B65BB" w:rsidP="000B65BB">
      <w:pPr>
        <w:spacing w:line="360" w:lineRule="auto"/>
        <w:jc w:val="both"/>
        <w:rPr>
          <w:rFonts w:ascii="Times New Roman" w:hAnsi="Times New Roman" w:cs="Times New Roman"/>
          <w:sz w:val="20"/>
          <w:szCs w:val="20"/>
        </w:rPr>
      </w:pPr>
      <w:r w:rsidRPr="00DD795F">
        <w:rPr>
          <w:noProof/>
          <w:lang w:eastAsia="pt-BR"/>
        </w:rPr>
        <w:lastRenderedPageBreak/>
        <w:drawing>
          <wp:inline distT="0" distB="0" distL="0" distR="0" wp14:anchorId="1E567211" wp14:editId="7562C24D">
            <wp:extent cx="5204947" cy="40005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1155" cy="4089817"/>
                    </a:xfrm>
                    <a:prstGeom prst="rect">
                      <a:avLst/>
                    </a:prstGeom>
                    <a:noFill/>
                    <a:ln>
                      <a:noFill/>
                    </a:ln>
                  </pic:spPr>
                </pic:pic>
              </a:graphicData>
            </a:graphic>
          </wp:inline>
        </w:drawing>
      </w:r>
      <w:r w:rsidR="00EB5535" w:rsidRPr="00AB4040">
        <w:rPr>
          <w:rFonts w:ascii="Times New Roman" w:hAnsi="Times New Roman" w:cs="Times New Roman"/>
          <w:sz w:val="20"/>
          <w:szCs w:val="20"/>
        </w:rPr>
        <w:tab/>
      </w:r>
    </w:p>
    <w:p w14:paraId="1B5FF672" w14:textId="77777777" w:rsidR="000B65BB" w:rsidRDefault="000B65BB" w:rsidP="000B65BB">
      <w:pPr>
        <w:spacing w:line="360" w:lineRule="auto"/>
        <w:jc w:val="both"/>
        <w:rPr>
          <w:rFonts w:ascii="Times New Roman" w:hAnsi="Times New Roman" w:cs="Times New Roman"/>
          <w:sz w:val="20"/>
          <w:szCs w:val="20"/>
        </w:rPr>
      </w:pPr>
    </w:p>
    <w:p w14:paraId="4B7E3354" w14:textId="79526EFC" w:rsidR="000B65BB" w:rsidRDefault="000B65BB" w:rsidP="00260C93">
      <w:pPr>
        <w:spacing w:line="360" w:lineRule="auto"/>
        <w:jc w:val="center"/>
        <w:rPr>
          <w:rFonts w:ascii="Times New Roman" w:hAnsi="Times New Roman" w:cs="Times New Roman"/>
          <w:sz w:val="20"/>
          <w:szCs w:val="20"/>
        </w:rPr>
      </w:pPr>
      <w:r w:rsidRPr="000B65BB">
        <w:rPr>
          <w:rFonts w:ascii="Times New Roman" w:hAnsi="Times New Roman" w:cs="Times New Roman"/>
          <w:sz w:val="20"/>
          <w:szCs w:val="20"/>
        </w:rPr>
        <w:t>Figura 5 Alterações na região dos ácidos graxos poli-insaturados</w:t>
      </w:r>
    </w:p>
    <w:p w14:paraId="1DD8D32C" w14:textId="77777777" w:rsidR="00260C93" w:rsidRDefault="00260C93" w:rsidP="000B65BB">
      <w:pPr>
        <w:spacing w:line="360" w:lineRule="auto"/>
        <w:jc w:val="both"/>
        <w:rPr>
          <w:rFonts w:ascii="Times New Roman" w:hAnsi="Times New Roman" w:cs="Times New Roman"/>
          <w:sz w:val="20"/>
          <w:szCs w:val="20"/>
        </w:rPr>
      </w:pPr>
    </w:p>
    <w:p w14:paraId="22265F86" w14:textId="75973686" w:rsidR="00260C93" w:rsidRPr="00260C93" w:rsidRDefault="00260C93" w:rsidP="00260C93">
      <w:pPr>
        <w:spacing w:line="360" w:lineRule="auto"/>
        <w:jc w:val="both"/>
        <w:rPr>
          <w:rFonts w:ascii="Times New Roman" w:hAnsi="Times New Roman" w:cs="Times New Roman"/>
          <w:sz w:val="20"/>
          <w:szCs w:val="20"/>
        </w:rPr>
      </w:pPr>
      <w:r w:rsidRPr="00260C93">
        <w:rPr>
          <w:rFonts w:ascii="Times New Roman" w:hAnsi="Times New Roman" w:cs="Times New Roman"/>
          <w:sz w:val="20"/>
          <w:szCs w:val="20"/>
        </w:rPr>
        <w:t>Esta região tornou-se bastante importante na pesquisa, pois verificou-se um aumento gradativo na intensidade dos picos característicos destes ácidos graxos de acordo com o aumento da substituição da manteiga por óleo vegetal. Este fato ocorre, pois em óleos vegetal pode-se encontrar mais 50% de ácidos graxos insaturados e poli-insaturados. Enquanto que nas gorduras animais apenas 3%. O pico em 3007 cm</w:t>
      </w:r>
      <w:r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característico do estiramento do grupo –C=C-H(cis) de ligações duplas de ácidos graxos insaturado</w:t>
      </w:r>
      <w:r w:rsidR="005F340C">
        <w:rPr>
          <w:rFonts w:ascii="Times New Roman" w:hAnsi="Times New Roman" w:cs="Times New Roman"/>
          <w:sz w:val="20"/>
          <w:szCs w:val="20"/>
        </w:rPr>
        <w:t>s. E no pico em torno de 721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é produzido por “rocking vibration” dos grupos –HC=CH(cis) de acordo com Kadamne et Al. (2009). Assim quanto maior a intensidade destes picos, maior o presença de óleo vegetal no queijo. Ressalta-se também que o pico 3007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também sofreu um leve deslocamento a partir de 20% de fraude, este deslocou-se para 3009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 Este achado coaduna-se às pesquisas de Koca et Al. que encontrou o pico 3004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na manteiga pastosa que quando fraudada com margarina, o pico deslocou-se para 3009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w:t>
      </w:r>
    </w:p>
    <w:p w14:paraId="352B6156" w14:textId="77777777" w:rsidR="00260C93" w:rsidRPr="00260C93" w:rsidRDefault="00260C93" w:rsidP="00260C93">
      <w:pPr>
        <w:spacing w:line="360" w:lineRule="auto"/>
        <w:jc w:val="both"/>
        <w:rPr>
          <w:rFonts w:ascii="Times New Roman" w:hAnsi="Times New Roman" w:cs="Times New Roman"/>
          <w:sz w:val="20"/>
          <w:szCs w:val="20"/>
        </w:rPr>
      </w:pPr>
      <w:r w:rsidRPr="00260C93">
        <w:rPr>
          <w:rFonts w:ascii="Times New Roman" w:hAnsi="Times New Roman" w:cs="Times New Roman"/>
          <w:sz w:val="20"/>
          <w:szCs w:val="20"/>
        </w:rPr>
        <w:t>ANÁLISE DE COMPONENTE PRINCIPAL (PCA)</w:t>
      </w:r>
    </w:p>
    <w:p w14:paraId="222A0113" w14:textId="5EB91C49" w:rsidR="00260C93" w:rsidRDefault="00260C93" w:rsidP="00260C93">
      <w:pPr>
        <w:spacing w:line="360" w:lineRule="auto"/>
        <w:jc w:val="both"/>
        <w:rPr>
          <w:rFonts w:ascii="Times New Roman" w:hAnsi="Times New Roman" w:cs="Times New Roman"/>
          <w:sz w:val="20"/>
          <w:szCs w:val="20"/>
        </w:rPr>
      </w:pPr>
      <w:r w:rsidRPr="00260C93">
        <w:rPr>
          <w:rFonts w:ascii="Times New Roman" w:hAnsi="Times New Roman" w:cs="Times New Roman"/>
          <w:sz w:val="20"/>
          <w:szCs w:val="20"/>
        </w:rPr>
        <w:t>Para análise de componentes principais, utilizou-se as faixas de número de onda de 3500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a 2800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 1800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a 1500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e 750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a 650 cm</w:t>
      </w:r>
      <w:r w:rsidR="005F340C" w:rsidRPr="005F340C">
        <w:rPr>
          <w:rFonts w:ascii="Times New Roman" w:hAnsi="Times New Roman" w:cs="Times New Roman"/>
          <w:sz w:val="20"/>
          <w:szCs w:val="20"/>
          <w:vertAlign w:val="superscript"/>
        </w:rPr>
        <w:t>-1</w:t>
      </w:r>
      <w:r w:rsidRPr="00260C93">
        <w:rPr>
          <w:rFonts w:ascii="Times New Roman" w:hAnsi="Times New Roman" w:cs="Times New Roman"/>
          <w:sz w:val="20"/>
          <w:szCs w:val="20"/>
        </w:rPr>
        <w:t xml:space="preserve">  , pois estes representam as principais regiões do espectro do queijo. O primeiro componente principal (PC1), descreve 76,97% apresentada na faixa do espectro analisado e caracteriza a massa láctea ou seja o queijo de manteiga sem nenhum tipo de gordura. O PC2 descreve apenas 11,39% da variação entre os espectro. No entanto este explica melhor a diferença entre os tipos de gorduras utilizados que ficaram nas extremidades e o agrupamento das amostras fraudadas entres estas extremidades</w:t>
      </w:r>
    </w:p>
    <w:p w14:paraId="0A007CBE" w14:textId="77777777" w:rsidR="00260C93" w:rsidRDefault="00260C93" w:rsidP="00260C93">
      <w:pPr>
        <w:spacing w:line="360" w:lineRule="auto"/>
        <w:jc w:val="both"/>
        <w:rPr>
          <w:rFonts w:ascii="Times New Roman" w:hAnsi="Times New Roman" w:cs="Times New Roman"/>
          <w:sz w:val="20"/>
          <w:szCs w:val="20"/>
        </w:rPr>
      </w:pPr>
    </w:p>
    <w:p w14:paraId="4FBE33EE" w14:textId="4EDB000F" w:rsidR="00260C93" w:rsidRDefault="00260C93" w:rsidP="00260C93">
      <w:pPr>
        <w:spacing w:line="360" w:lineRule="auto"/>
        <w:jc w:val="both"/>
        <w:rPr>
          <w:rFonts w:ascii="Times New Roman" w:hAnsi="Times New Roman" w:cs="Times New Roman"/>
          <w:sz w:val="20"/>
          <w:szCs w:val="20"/>
        </w:rPr>
      </w:pPr>
      <w:r>
        <w:rPr>
          <w:noProof/>
          <w:sz w:val="24"/>
          <w:szCs w:val="24"/>
          <w:lang w:eastAsia="pt-BR"/>
        </w:rPr>
        <w:lastRenderedPageBreak/>
        <w:drawing>
          <wp:inline distT="0" distB="0" distL="0" distR="0" wp14:anchorId="429E2E0B" wp14:editId="495939BB">
            <wp:extent cx="5953125" cy="3853180"/>
            <wp:effectExtent l="0" t="0" r="952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108" cy="3858994"/>
                    </a:xfrm>
                    <a:prstGeom prst="rect">
                      <a:avLst/>
                    </a:prstGeom>
                    <a:noFill/>
                    <a:ln>
                      <a:noFill/>
                    </a:ln>
                  </pic:spPr>
                </pic:pic>
              </a:graphicData>
            </a:graphic>
          </wp:inline>
        </w:drawing>
      </w:r>
    </w:p>
    <w:p w14:paraId="09DCC367" w14:textId="77777777" w:rsidR="00260C93" w:rsidRDefault="00260C93" w:rsidP="00260C93">
      <w:pPr>
        <w:spacing w:line="360" w:lineRule="auto"/>
        <w:jc w:val="both"/>
        <w:rPr>
          <w:rFonts w:ascii="Times New Roman" w:hAnsi="Times New Roman" w:cs="Times New Roman"/>
          <w:sz w:val="20"/>
          <w:szCs w:val="20"/>
        </w:rPr>
      </w:pPr>
    </w:p>
    <w:p w14:paraId="1F838A4C" w14:textId="29D44B8E" w:rsidR="00260C93" w:rsidRDefault="00260C93" w:rsidP="00260C93">
      <w:pPr>
        <w:spacing w:line="360" w:lineRule="auto"/>
        <w:jc w:val="center"/>
        <w:rPr>
          <w:rFonts w:ascii="Times New Roman" w:hAnsi="Times New Roman" w:cs="Times New Roman"/>
          <w:sz w:val="20"/>
          <w:szCs w:val="20"/>
        </w:rPr>
      </w:pPr>
      <w:r w:rsidRPr="00260C93">
        <w:rPr>
          <w:rFonts w:ascii="Times New Roman" w:hAnsi="Times New Roman" w:cs="Times New Roman"/>
          <w:sz w:val="20"/>
          <w:szCs w:val="20"/>
        </w:rPr>
        <w:t>Figura 6 Gráfico dos scores da Análise de Componentes Principais- PCA</w:t>
      </w:r>
    </w:p>
    <w:p w14:paraId="458B17E1" w14:textId="77777777" w:rsidR="00260C93" w:rsidRPr="00260C93" w:rsidRDefault="00260C93" w:rsidP="00260C93">
      <w:pPr>
        <w:spacing w:line="360" w:lineRule="auto"/>
        <w:jc w:val="both"/>
        <w:rPr>
          <w:rFonts w:ascii="Times New Roman" w:hAnsi="Times New Roman" w:cs="Times New Roman"/>
          <w:sz w:val="20"/>
          <w:szCs w:val="20"/>
        </w:rPr>
      </w:pPr>
      <w:r w:rsidRPr="00260C93">
        <w:rPr>
          <w:rFonts w:ascii="Times New Roman" w:hAnsi="Times New Roman" w:cs="Times New Roman"/>
          <w:sz w:val="20"/>
          <w:szCs w:val="20"/>
        </w:rPr>
        <w:t>Observa-se a nítida separação da massa láctea das outras amostras. Esta separação indica o primeiro componente principal que está ligado a gordura em termos de quantidade (PC1). O PC2 refere-se ao tipo de gordura (manteiga e óleo). Pode-se verificar a formação de três grupos de amostras: as amostras fraudadas a partir de 60% de substituição que estão no lado positivo do PC2 e mais próximas a amostra de queijo feita apenas com óleo; um grupo intermediário das amostra com 30,40 e 50% de substituição e outro grupo apresentando a amostra sem fraude no meio do intervalo entre massa láctea e manteiga e as amostras com 10 e 20% de substituição entre as amostras de queijo sem fraude e a manteiga. A partir de 20% de substituição, a fraude fica mais evidente.</w:t>
      </w:r>
    </w:p>
    <w:p w14:paraId="041FE4CA" w14:textId="5600EFA7" w:rsidR="00260C93" w:rsidRPr="00222FA7" w:rsidRDefault="00222FA7" w:rsidP="00260C93">
      <w:pPr>
        <w:spacing w:line="360" w:lineRule="auto"/>
        <w:rPr>
          <w:rFonts w:ascii="Times New Roman" w:hAnsi="Times New Roman" w:cs="Times New Roman"/>
          <w:b/>
        </w:rPr>
      </w:pPr>
      <w:r>
        <w:rPr>
          <w:rFonts w:ascii="Times New Roman" w:hAnsi="Times New Roman" w:cs="Times New Roman"/>
          <w:b/>
        </w:rPr>
        <w:t>C</w:t>
      </w:r>
      <w:r w:rsidRPr="00222FA7">
        <w:rPr>
          <w:rFonts w:ascii="Times New Roman" w:hAnsi="Times New Roman" w:cs="Times New Roman"/>
          <w:b/>
        </w:rPr>
        <w:t>onclusão</w:t>
      </w:r>
    </w:p>
    <w:p w14:paraId="477D4FBA" w14:textId="3D5D498D" w:rsidR="00260C93" w:rsidRDefault="00260C93" w:rsidP="00260C93">
      <w:pPr>
        <w:spacing w:line="360" w:lineRule="auto"/>
        <w:jc w:val="both"/>
        <w:rPr>
          <w:rFonts w:ascii="Times New Roman" w:hAnsi="Times New Roman" w:cs="Times New Roman"/>
          <w:sz w:val="20"/>
          <w:szCs w:val="20"/>
        </w:rPr>
      </w:pPr>
      <w:r w:rsidRPr="00260C93">
        <w:rPr>
          <w:rFonts w:ascii="Times New Roman" w:hAnsi="Times New Roman" w:cs="Times New Roman"/>
          <w:sz w:val="20"/>
          <w:szCs w:val="20"/>
        </w:rPr>
        <w:t>Infere-se assim, que a substituição da manteiga de garrafa por óleo vegetal no queijo de manteiga peculiariza seu espectro infravermelho e interfere em todas as regiões deste espectro, trazendo uma tipificação por meio da qual pode-se caracterizar um queijo de manteiga autêntico e ou fraudado. Constata-se também que o método além de confiável e rápido possibilita a diminuição do uso de reagentes químicos, diminuindo os riscos para pessoas e meio ambiente</w:t>
      </w:r>
      <w:r w:rsidR="00426C05">
        <w:rPr>
          <w:rFonts w:ascii="Times New Roman" w:hAnsi="Times New Roman" w:cs="Times New Roman"/>
          <w:sz w:val="20"/>
          <w:szCs w:val="20"/>
        </w:rPr>
        <w:t xml:space="preserve"> e pode ser aplicado com bastante confiabilidade para a identificação deste tipo de fraude</w:t>
      </w:r>
      <w:r w:rsidRPr="00260C93">
        <w:rPr>
          <w:rFonts w:ascii="Times New Roman" w:hAnsi="Times New Roman" w:cs="Times New Roman"/>
          <w:sz w:val="20"/>
          <w:szCs w:val="20"/>
        </w:rPr>
        <w:t>.</w:t>
      </w:r>
    </w:p>
    <w:p w14:paraId="2CE0157D" w14:textId="56545D80" w:rsidR="00FD46D5" w:rsidRPr="00222FA7" w:rsidRDefault="00222FA7" w:rsidP="00260C93">
      <w:pPr>
        <w:spacing w:line="360" w:lineRule="auto"/>
        <w:jc w:val="both"/>
        <w:rPr>
          <w:rFonts w:ascii="Times New Roman" w:hAnsi="Times New Roman" w:cs="Times New Roman"/>
          <w:b/>
        </w:rPr>
      </w:pPr>
      <w:r>
        <w:rPr>
          <w:rFonts w:ascii="Times New Roman" w:hAnsi="Times New Roman" w:cs="Times New Roman"/>
          <w:b/>
        </w:rPr>
        <w:t>R</w:t>
      </w:r>
      <w:r w:rsidRPr="00222FA7">
        <w:rPr>
          <w:rFonts w:ascii="Times New Roman" w:hAnsi="Times New Roman" w:cs="Times New Roman"/>
          <w:b/>
        </w:rPr>
        <w:t>eferencias</w:t>
      </w:r>
    </w:p>
    <w:p w14:paraId="2BA5174E" w14:textId="3DBC10A3"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ALEJEWICZ M, CICHOSZ G, KOVALSKA M. Cheese-like products analogs of processed and ripened cheeses. </w:t>
      </w:r>
      <w:r w:rsidRPr="00FD46D5">
        <w:rPr>
          <w:rFonts w:ascii="Times New Roman" w:hAnsi="Times New Roman" w:cs="Times New Roman"/>
          <w:b/>
          <w:sz w:val="20"/>
          <w:szCs w:val="20"/>
        </w:rPr>
        <w:t>Food Sci Technol Qual</w:t>
      </w:r>
      <w:r w:rsidRPr="00FD46D5">
        <w:rPr>
          <w:rFonts w:ascii="Times New Roman" w:hAnsi="Times New Roman" w:cs="Times New Roman"/>
          <w:sz w:val="20"/>
          <w:szCs w:val="20"/>
        </w:rPr>
        <w:t>. 78:16-25, 2011.</w:t>
      </w:r>
    </w:p>
    <w:p w14:paraId="1E2FF6BE" w14:textId="77777777" w:rsidR="00FD46D5" w:rsidRPr="006D5F47" w:rsidRDefault="00FD46D5" w:rsidP="00FD46D5">
      <w:pPr>
        <w:spacing w:after="0" w:line="240" w:lineRule="auto"/>
        <w:jc w:val="both"/>
        <w:rPr>
          <w:rFonts w:ascii="Times New Roman" w:hAnsi="Times New Roman" w:cs="Times New Roman"/>
          <w:sz w:val="20"/>
          <w:szCs w:val="20"/>
        </w:rPr>
      </w:pPr>
      <w:r w:rsidRPr="006D5F47">
        <w:rPr>
          <w:rFonts w:ascii="Times New Roman" w:hAnsi="Times New Roman" w:cs="Times New Roman"/>
          <w:sz w:val="20"/>
          <w:szCs w:val="20"/>
        </w:rPr>
        <w:t xml:space="preserve">BARBOSA, Luiz Cláudio de Almeida. </w:t>
      </w:r>
      <w:r w:rsidRPr="006D5F47">
        <w:rPr>
          <w:rFonts w:ascii="Times New Roman" w:hAnsi="Times New Roman" w:cs="Times New Roman"/>
          <w:b/>
          <w:sz w:val="20"/>
          <w:szCs w:val="20"/>
        </w:rPr>
        <w:t>Espectroscopia no infravermelho na caracterização de compostos orgânicos</w:t>
      </w:r>
      <w:r w:rsidRPr="006D5F47">
        <w:rPr>
          <w:rFonts w:ascii="Times New Roman" w:hAnsi="Times New Roman" w:cs="Times New Roman"/>
          <w:sz w:val="20"/>
          <w:szCs w:val="20"/>
        </w:rPr>
        <w:t xml:space="preserve">. Viçosa: Ed. UFV, 2007. </w:t>
      </w:r>
    </w:p>
    <w:p w14:paraId="48848004" w14:textId="3CB4F8BB" w:rsidR="00FD46D5" w:rsidRDefault="00FD46D5" w:rsidP="00260C93">
      <w:pPr>
        <w:spacing w:line="360" w:lineRule="auto"/>
        <w:jc w:val="both"/>
        <w:rPr>
          <w:rFonts w:ascii="Times New Roman" w:hAnsi="Times New Roman" w:cs="Times New Roman"/>
          <w:sz w:val="20"/>
          <w:szCs w:val="20"/>
        </w:rPr>
      </w:pPr>
      <w:r w:rsidRPr="006D5F47">
        <w:rPr>
          <w:rFonts w:ascii="Times New Roman" w:hAnsi="Times New Roman" w:cs="Times New Roman"/>
          <w:sz w:val="20"/>
          <w:szCs w:val="20"/>
        </w:rPr>
        <w:lastRenderedPageBreak/>
        <w:t xml:space="preserve">BOTELHO, Bruno Gonçalves. </w:t>
      </w:r>
      <w:r w:rsidRPr="006D5F47">
        <w:rPr>
          <w:rFonts w:ascii="Times New Roman" w:hAnsi="Times New Roman" w:cs="Times New Roman"/>
          <w:b/>
          <w:sz w:val="20"/>
          <w:szCs w:val="20"/>
        </w:rPr>
        <w:t>Desenvolvimento e validação de métodos para análise direta de alimentos usando ferramentas quimiométricas, espectroscopia no infravermelho e imagens digitais.</w:t>
      </w:r>
      <w:r w:rsidRPr="006D5F47">
        <w:rPr>
          <w:rFonts w:ascii="Times New Roman" w:hAnsi="Times New Roman" w:cs="Times New Roman"/>
          <w:sz w:val="20"/>
          <w:szCs w:val="20"/>
        </w:rPr>
        <w:t xml:space="preserve"> 2014. 136f.Tese (Pós-Graduação em Química) - Instituto de Ciências Exatas da Universidade Federal de Minas Gerais Belo Horizonte, 2014.</w:t>
      </w:r>
    </w:p>
    <w:p w14:paraId="7455A290" w14:textId="408B6D0D" w:rsidR="00343F10" w:rsidRPr="006D5F47" w:rsidRDefault="00343F10" w:rsidP="00260C93">
      <w:pPr>
        <w:spacing w:line="360" w:lineRule="auto"/>
        <w:jc w:val="both"/>
        <w:rPr>
          <w:rFonts w:ascii="Times New Roman" w:hAnsi="Times New Roman" w:cs="Times New Roman"/>
          <w:sz w:val="20"/>
          <w:szCs w:val="20"/>
        </w:rPr>
      </w:pPr>
      <w:r w:rsidRPr="00343F10">
        <w:rPr>
          <w:rFonts w:ascii="Times New Roman" w:hAnsi="Times New Roman" w:cs="Times New Roman"/>
          <w:sz w:val="20"/>
          <w:szCs w:val="20"/>
        </w:rPr>
        <w:t xml:space="preserve">CARVALHO, Juliana Nunes  et al. Análise microbiológica e pesquisa de amido em queijos de coalho e de manteiga comercializados em Recife-PE.2011. </w:t>
      </w:r>
      <w:r w:rsidRPr="00343F10">
        <w:rPr>
          <w:rFonts w:ascii="Times New Roman" w:hAnsi="Times New Roman" w:cs="Times New Roman"/>
          <w:b/>
          <w:sz w:val="20"/>
          <w:szCs w:val="20"/>
        </w:rPr>
        <w:t>Revista Higiene Alimentar</w:t>
      </w:r>
      <w:r w:rsidRPr="00343F10">
        <w:rPr>
          <w:rFonts w:ascii="Times New Roman" w:hAnsi="Times New Roman" w:cs="Times New Roman"/>
          <w:sz w:val="20"/>
          <w:szCs w:val="20"/>
        </w:rPr>
        <w:t>, v. 25, n.194-195, p.574 – 576, mar/abr. 2011.</w:t>
      </w:r>
    </w:p>
    <w:p w14:paraId="078C2BB5" w14:textId="3ADF1239"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CUIBUS, Lucian et al. Preliminary discrimination of cheese adulteration by FT-IR spectroscopy.Bulletin UASVM </w:t>
      </w:r>
      <w:r w:rsidRPr="00FD46D5">
        <w:rPr>
          <w:rFonts w:ascii="Times New Roman" w:hAnsi="Times New Roman" w:cs="Times New Roman"/>
          <w:b/>
          <w:sz w:val="20"/>
          <w:szCs w:val="20"/>
        </w:rPr>
        <w:t>Food Science and Technology,</w:t>
      </w:r>
      <w:r w:rsidRPr="00FD46D5">
        <w:rPr>
          <w:rFonts w:ascii="Times New Roman" w:hAnsi="Times New Roman" w:cs="Times New Roman"/>
          <w:sz w:val="20"/>
          <w:szCs w:val="20"/>
        </w:rPr>
        <w:t xml:space="preserve"> 71(2), p.142-146, 2014.</w:t>
      </w:r>
    </w:p>
    <w:p w14:paraId="053B7A9D" w14:textId="276F9B32"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CUIBUS, Lucian et al. Preliminary Discrimination of Butter Adulteration by FT-IR spectroscopy. Bulletin </w:t>
      </w:r>
      <w:r w:rsidRPr="00FD46D5">
        <w:rPr>
          <w:rFonts w:ascii="Times New Roman" w:hAnsi="Times New Roman" w:cs="Times New Roman"/>
          <w:b/>
          <w:sz w:val="20"/>
          <w:szCs w:val="20"/>
        </w:rPr>
        <w:t>UASVM Food Science and Technology</w:t>
      </w:r>
      <w:r w:rsidRPr="00FD46D5">
        <w:rPr>
          <w:rFonts w:ascii="Times New Roman" w:hAnsi="Times New Roman" w:cs="Times New Roman"/>
          <w:sz w:val="20"/>
          <w:szCs w:val="20"/>
        </w:rPr>
        <w:t>, 72(1), p. 70-76, 2015.</w:t>
      </w:r>
    </w:p>
    <w:p w14:paraId="74CD82D9" w14:textId="3B0F0BEB"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DANKOWSKA, Anna; MAŁECKA, Maria; KOWALEWSKI, Wojciech. Detection of plant oil addition to cheese by synchronous fluorescence spectroscopy. </w:t>
      </w:r>
      <w:r w:rsidRPr="00FD46D5">
        <w:rPr>
          <w:rFonts w:ascii="Times New Roman" w:hAnsi="Times New Roman" w:cs="Times New Roman"/>
          <w:b/>
          <w:sz w:val="20"/>
          <w:szCs w:val="20"/>
        </w:rPr>
        <w:t>Dairy Sci. &amp; Technol</w:t>
      </w:r>
      <w:r w:rsidRPr="00FD46D5">
        <w:rPr>
          <w:rFonts w:ascii="Times New Roman" w:hAnsi="Times New Roman" w:cs="Times New Roman"/>
          <w:sz w:val="20"/>
          <w:szCs w:val="20"/>
        </w:rPr>
        <w:t>.15mar2015</w:t>
      </w:r>
    </w:p>
    <w:p w14:paraId="6C7053E2" w14:textId="639A2863"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FODA, Mervat I. et al. Fourier Transform Infrared (FTIR) Spectra in Relation to the Composition of White Soft Cheese. </w:t>
      </w:r>
      <w:r w:rsidRPr="00FD46D5">
        <w:rPr>
          <w:rFonts w:ascii="Times New Roman" w:hAnsi="Times New Roman" w:cs="Times New Roman"/>
          <w:b/>
          <w:sz w:val="20"/>
          <w:szCs w:val="20"/>
        </w:rPr>
        <w:t>World Appl. Sci. J</w:t>
      </w:r>
      <w:r w:rsidRPr="00FD46D5">
        <w:rPr>
          <w:rFonts w:ascii="Times New Roman" w:hAnsi="Times New Roman" w:cs="Times New Roman"/>
          <w:sz w:val="20"/>
          <w:szCs w:val="20"/>
        </w:rPr>
        <w:t>., 26 (3), p 289-295, 2013.</w:t>
      </w:r>
    </w:p>
    <w:p w14:paraId="5F7D1D69" w14:textId="0BB63394"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KADAMNE, Jeta V. et al. Measurement of Conjugated Linoleic Acid (CLA) in CLA-Rich Soy Oil by Attenuated Total Reflectance− Fourier Transform Infrared Spectroscopy (ATR− FTIR). </w:t>
      </w:r>
      <w:r w:rsidRPr="00FD46D5">
        <w:rPr>
          <w:rFonts w:ascii="Times New Roman" w:hAnsi="Times New Roman" w:cs="Times New Roman"/>
          <w:b/>
          <w:sz w:val="20"/>
          <w:szCs w:val="20"/>
        </w:rPr>
        <w:t>Journal of agricultural and food chemistry</w:t>
      </w:r>
      <w:r w:rsidRPr="00FD46D5">
        <w:rPr>
          <w:rFonts w:ascii="Times New Roman" w:hAnsi="Times New Roman" w:cs="Times New Roman"/>
          <w:sz w:val="20"/>
          <w:szCs w:val="20"/>
        </w:rPr>
        <w:t>, v. 57, n. 22, p. 10483-10488, 2009.</w:t>
      </w:r>
    </w:p>
    <w:p w14:paraId="65BD7120" w14:textId="489B69A9"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KAROUI, Romdhane et al. Mid-infrared spectrometry: A tool for the determination of chemical parameters in Emmental cheeses producedduring winter. </w:t>
      </w:r>
      <w:r w:rsidRPr="00FD46D5">
        <w:rPr>
          <w:rFonts w:ascii="Times New Roman" w:hAnsi="Times New Roman" w:cs="Times New Roman"/>
          <w:b/>
          <w:sz w:val="20"/>
          <w:szCs w:val="20"/>
        </w:rPr>
        <w:t>EDP Sciences</w:t>
      </w:r>
      <w:r w:rsidRPr="00FD46D5">
        <w:rPr>
          <w:rFonts w:ascii="Times New Roman" w:hAnsi="Times New Roman" w:cs="Times New Roman"/>
          <w:sz w:val="20"/>
          <w:szCs w:val="20"/>
        </w:rPr>
        <w:t>. Laint. 86, p 83-97.2005.</w:t>
      </w:r>
    </w:p>
    <w:p w14:paraId="3788C0D7" w14:textId="11BD2895" w:rsidR="00FD46D5" w:rsidRDefault="00FD46D5" w:rsidP="00260C93">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KOCA, N. et al. Application of temperature-controlled attenuated total reflectance-mid-infrared (ATR-MIR) spectroscopy for rapid estimation of butter adulteration. </w:t>
      </w:r>
      <w:r w:rsidRPr="00FD46D5">
        <w:rPr>
          <w:rFonts w:ascii="Times New Roman" w:hAnsi="Times New Roman" w:cs="Times New Roman"/>
          <w:b/>
          <w:sz w:val="20"/>
          <w:szCs w:val="20"/>
        </w:rPr>
        <w:t>Food Chemistry</w:t>
      </w:r>
      <w:r w:rsidRPr="00FD46D5">
        <w:rPr>
          <w:rFonts w:ascii="Times New Roman" w:hAnsi="Times New Roman" w:cs="Times New Roman"/>
          <w:sz w:val="20"/>
          <w:szCs w:val="20"/>
        </w:rPr>
        <w:t>. 121. P. 778-782.2010.</w:t>
      </w:r>
    </w:p>
    <w:p w14:paraId="1F55E1D3" w14:textId="11A0A4BB" w:rsidR="00FD46D5" w:rsidRDefault="00FD46D5" w:rsidP="00FD46D5">
      <w:pPr>
        <w:spacing w:line="360" w:lineRule="auto"/>
        <w:jc w:val="both"/>
        <w:rPr>
          <w:rFonts w:ascii="Times New Roman" w:hAnsi="Times New Roman" w:cs="Times New Roman"/>
          <w:sz w:val="20"/>
          <w:szCs w:val="20"/>
        </w:rPr>
      </w:pPr>
      <w:r w:rsidRPr="00FD46D5">
        <w:rPr>
          <w:rFonts w:ascii="Times New Roman" w:hAnsi="Times New Roman" w:cs="Times New Roman"/>
          <w:sz w:val="20"/>
          <w:szCs w:val="20"/>
        </w:rPr>
        <w:t xml:space="preserve">MARTIN-DEL-CAMPO, S. T. et al. Middle infrared spectroscopy characterization of ripening stages of Camembert-type cheeses. </w:t>
      </w:r>
      <w:r w:rsidRPr="00FD46D5">
        <w:rPr>
          <w:rFonts w:ascii="Times New Roman" w:hAnsi="Times New Roman" w:cs="Times New Roman"/>
          <w:b/>
          <w:sz w:val="20"/>
          <w:szCs w:val="20"/>
        </w:rPr>
        <w:t>International dairy journal</w:t>
      </w:r>
      <w:r w:rsidRPr="00FD46D5">
        <w:rPr>
          <w:rFonts w:ascii="Times New Roman" w:hAnsi="Times New Roman" w:cs="Times New Roman"/>
          <w:sz w:val="20"/>
          <w:szCs w:val="20"/>
        </w:rPr>
        <w:t>, v. 17, n. 7, p. 835-845, 2007.</w:t>
      </w:r>
    </w:p>
    <w:p w14:paraId="47DBAF86" w14:textId="2F105AB9" w:rsidR="006D5F47" w:rsidRDefault="006D5F47" w:rsidP="00FD46D5">
      <w:pPr>
        <w:spacing w:line="360" w:lineRule="auto"/>
        <w:jc w:val="both"/>
        <w:rPr>
          <w:rFonts w:ascii="Times New Roman" w:hAnsi="Times New Roman" w:cs="Times New Roman"/>
          <w:sz w:val="20"/>
          <w:szCs w:val="20"/>
        </w:rPr>
      </w:pPr>
      <w:r w:rsidRPr="006D5F47">
        <w:rPr>
          <w:rFonts w:ascii="Times New Roman" w:hAnsi="Times New Roman" w:cs="Times New Roman"/>
          <w:sz w:val="20"/>
          <w:szCs w:val="20"/>
        </w:rPr>
        <w:t xml:space="preserve">REDA, S.Y., CARNEIRO, P.I.B.Óleos e gorduras: aplicações e implicações. </w:t>
      </w:r>
      <w:r w:rsidRPr="006D5F47">
        <w:rPr>
          <w:rFonts w:ascii="Times New Roman" w:hAnsi="Times New Roman" w:cs="Times New Roman"/>
          <w:b/>
          <w:sz w:val="20"/>
          <w:szCs w:val="20"/>
        </w:rPr>
        <w:t>Revista Analytica</w:t>
      </w:r>
      <w:r w:rsidRPr="006D5F47">
        <w:rPr>
          <w:rFonts w:ascii="Times New Roman" w:hAnsi="Times New Roman" w:cs="Times New Roman"/>
          <w:sz w:val="20"/>
          <w:szCs w:val="20"/>
        </w:rPr>
        <w:t>. N. 27, p. 60-67.2007</w:t>
      </w:r>
      <w:r>
        <w:rPr>
          <w:rFonts w:ascii="Times New Roman" w:hAnsi="Times New Roman" w:cs="Times New Roman"/>
          <w:sz w:val="20"/>
          <w:szCs w:val="20"/>
        </w:rPr>
        <w:t>.</w:t>
      </w:r>
    </w:p>
    <w:p w14:paraId="49FAA171" w14:textId="49EBD62D" w:rsidR="006D5F47" w:rsidRDefault="006D5F47" w:rsidP="00FD46D5">
      <w:pPr>
        <w:spacing w:line="360" w:lineRule="auto"/>
        <w:jc w:val="both"/>
        <w:rPr>
          <w:rFonts w:ascii="Times New Roman" w:hAnsi="Times New Roman" w:cs="Times New Roman"/>
          <w:sz w:val="20"/>
          <w:szCs w:val="20"/>
        </w:rPr>
      </w:pPr>
      <w:r w:rsidRPr="006D5F47">
        <w:rPr>
          <w:rFonts w:ascii="Times New Roman" w:hAnsi="Times New Roman" w:cs="Times New Roman"/>
          <w:sz w:val="20"/>
          <w:szCs w:val="20"/>
        </w:rPr>
        <w:t>SUBRAMANIAN, A. et al.  (2011). Monitoring amino acids, organicacids, and ripening changes in Cheddar cheese using Fourier-transform infrared spectroscopy.</w:t>
      </w:r>
      <w:r w:rsidRPr="006D5F47">
        <w:rPr>
          <w:rFonts w:ascii="Times New Roman" w:hAnsi="Times New Roman" w:cs="Times New Roman"/>
          <w:b/>
          <w:sz w:val="20"/>
          <w:szCs w:val="20"/>
        </w:rPr>
        <w:t>InternationalDairy Journal</w:t>
      </w:r>
      <w:r w:rsidRPr="006D5F47">
        <w:rPr>
          <w:rFonts w:ascii="Times New Roman" w:hAnsi="Times New Roman" w:cs="Times New Roman"/>
          <w:sz w:val="20"/>
          <w:szCs w:val="20"/>
        </w:rPr>
        <w:t>, 21, 434e440.</w:t>
      </w:r>
    </w:p>
    <w:p w14:paraId="27FC7C62" w14:textId="0162EEC4" w:rsidR="00B9107D" w:rsidRDefault="00B9107D" w:rsidP="00FD46D5">
      <w:pPr>
        <w:spacing w:line="360" w:lineRule="auto"/>
        <w:jc w:val="both"/>
        <w:rPr>
          <w:rFonts w:ascii="Times New Roman" w:hAnsi="Times New Roman" w:cs="Times New Roman"/>
          <w:sz w:val="20"/>
          <w:szCs w:val="20"/>
        </w:rPr>
      </w:pPr>
      <w:r w:rsidRPr="00B9107D">
        <w:rPr>
          <w:rFonts w:ascii="Times New Roman" w:hAnsi="Times New Roman" w:cs="Times New Roman"/>
          <w:sz w:val="20"/>
          <w:szCs w:val="20"/>
        </w:rPr>
        <w:t xml:space="preserve">VAZ, Lincoln Pontes. </w:t>
      </w:r>
      <w:r w:rsidRPr="00B9107D">
        <w:rPr>
          <w:rFonts w:ascii="Times New Roman" w:hAnsi="Times New Roman" w:cs="Times New Roman"/>
          <w:b/>
          <w:sz w:val="20"/>
          <w:szCs w:val="20"/>
        </w:rPr>
        <w:t>Caracerização físico-química e sensorial de manteiga daterra durante armazenamento controlado</w:t>
      </w:r>
      <w:r w:rsidRPr="00B9107D">
        <w:rPr>
          <w:rFonts w:ascii="Times New Roman" w:hAnsi="Times New Roman" w:cs="Times New Roman"/>
          <w:sz w:val="20"/>
          <w:szCs w:val="20"/>
        </w:rPr>
        <w:t>. 2015.76fls.Dissertação (Pós-Graduação em Ciencia e Tecnologia de Alimentos). Universidade Federal da Paraiba. João Pessoa, 2015</w:t>
      </w:r>
    </w:p>
    <w:p w14:paraId="72D6FFD3" w14:textId="77777777" w:rsidR="00FD46D5" w:rsidRDefault="00FD46D5" w:rsidP="00260C93">
      <w:pPr>
        <w:spacing w:line="360" w:lineRule="auto"/>
        <w:jc w:val="both"/>
        <w:rPr>
          <w:rFonts w:ascii="Times New Roman" w:hAnsi="Times New Roman" w:cs="Times New Roman"/>
          <w:sz w:val="20"/>
          <w:szCs w:val="20"/>
        </w:rPr>
      </w:pPr>
    </w:p>
    <w:p w14:paraId="27EB7F16" w14:textId="77777777" w:rsidR="00260C93" w:rsidRDefault="00260C93" w:rsidP="00260C93">
      <w:pPr>
        <w:spacing w:line="360" w:lineRule="auto"/>
        <w:jc w:val="center"/>
        <w:rPr>
          <w:rFonts w:ascii="Times New Roman" w:hAnsi="Times New Roman" w:cs="Times New Roman"/>
          <w:sz w:val="20"/>
          <w:szCs w:val="20"/>
        </w:rPr>
      </w:pPr>
    </w:p>
    <w:p w14:paraId="1077301C" w14:textId="77777777" w:rsidR="00260C93" w:rsidRPr="00AB4040" w:rsidRDefault="00260C93" w:rsidP="00260C93">
      <w:pPr>
        <w:spacing w:line="360" w:lineRule="auto"/>
        <w:rPr>
          <w:rFonts w:ascii="Times New Roman" w:hAnsi="Times New Roman" w:cs="Times New Roman"/>
          <w:sz w:val="20"/>
          <w:szCs w:val="20"/>
        </w:rPr>
        <w:sectPr w:rsidR="00260C93" w:rsidRPr="00AB4040" w:rsidSect="009B5A04">
          <w:type w:val="continuous"/>
          <w:pgSz w:w="11906" w:h="16838" w:code="9"/>
          <w:pgMar w:top="1134" w:right="1134" w:bottom="1134" w:left="1134" w:header="709" w:footer="709" w:gutter="0"/>
          <w:cols w:space="227"/>
          <w:titlePg/>
          <w:docGrid w:linePitch="360"/>
        </w:sectPr>
      </w:pPr>
    </w:p>
    <w:p w14:paraId="5379A445" w14:textId="55548F55" w:rsidR="009B5A04" w:rsidRPr="009B5A04" w:rsidRDefault="009B5A04" w:rsidP="009B5A04">
      <w:pPr>
        <w:spacing w:line="240" w:lineRule="auto"/>
        <w:rPr>
          <w:rFonts w:ascii="Times New Roman" w:hAnsi="Times New Roman"/>
          <w:b/>
          <w:bCs/>
          <w:sz w:val="20"/>
          <w:szCs w:val="20"/>
        </w:rPr>
      </w:pPr>
    </w:p>
    <w:sectPr w:rsidR="009B5A04" w:rsidRPr="009B5A04" w:rsidSect="000462D0">
      <w:type w:val="continuous"/>
      <w:pgSz w:w="11906" w:h="16838" w:code="9"/>
      <w:pgMar w:top="1134" w:right="1134" w:bottom="1134" w:left="1134"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5E37B" w14:textId="77777777" w:rsidR="00B83128" w:rsidRDefault="00B83128" w:rsidP="00A034C9">
      <w:pPr>
        <w:spacing w:after="0" w:line="240" w:lineRule="auto"/>
      </w:pPr>
      <w:r>
        <w:separator/>
      </w:r>
    </w:p>
  </w:endnote>
  <w:endnote w:type="continuationSeparator" w:id="0">
    <w:p w14:paraId="0F7B6F94" w14:textId="77777777" w:rsidR="00B83128" w:rsidRDefault="00B83128" w:rsidP="00A0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9505" w14:textId="5A3CE241" w:rsidR="00D83A47" w:rsidRPr="003F683D"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1312" behindDoc="0" locked="0" layoutInCell="1" allowOverlap="1" wp14:anchorId="79D97591" wp14:editId="2680324A">
          <wp:simplePos x="0" y="0"/>
          <wp:positionH relativeFrom="column">
            <wp:posOffset>5162550</wp:posOffset>
          </wp:positionH>
          <wp:positionV relativeFrom="paragraph">
            <wp:posOffset>-635</wp:posOffset>
          </wp:positionV>
          <wp:extent cx="923925" cy="40005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w:t>
    </w:r>
    <w:r w:rsidR="00DE2D49">
      <w:rPr>
        <w:rFonts w:ascii="Times New Roman" w:hAnsi="Times New Roman" w:cs="Times New Roman"/>
        <w:sz w:val="20"/>
        <w:szCs w:val="20"/>
      </w:rPr>
      <w:t xml:space="preserve"> p.</w:t>
    </w:r>
    <w:r w:rsidR="00D728ED">
      <w:rPr>
        <w:rFonts w:ascii="Times New Roman" w:hAnsi="Times New Roman" w:cs="Times New Roman"/>
        <w:sz w:val="20"/>
        <w:szCs w:val="20"/>
      </w:rPr>
      <w:t>10</w:t>
    </w:r>
    <w:r w:rsidRPr="003F683D">
      <w:rPr>
        <w:rFonts w:ascii="Times New Roman" w:hAnsi="Times New Roman" w:cs="Times New Roman"/>
        <w:sz w:val="20"/>
        <w:szCs w:val="20"/>
      </w:rPr>
      <w:t>-</w:t>
    </w:r>
    <w:r w:rsidR="00DE2D49">
      <w:rPr>
        <w:rFonts w:ascii="Times New Roman" w:hAnsi="Times New Roman" w:cs="Times New Roman"/>
        <w:sz w:val="20"/>
        <w:szCs w:val="20"/>
      </w:rPr>
      <w:t>17</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p w14:paraId="1298A202" w14:textId="77777777" w:rsidR="00D83A47" w:rsidRDefault="00D83A4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0CC2" w14:textId="31F11869" w:rsidR="00D83A47" w:rsidRPr="00D83A47"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3360" behindDoc="0" locked="0" layoutInCell="1" allowOverlap="1" wp14:anchorId="1F16090B" wp14:editId="2B659B67">
          <wp:simplePos x="0" y="0"/>
          <wp:positionH relativeFrom="column">
            <wp:posOffset>5162550</wp:posOffset>
          </wp:positionH>
          <wp:positionV relativeFrom="paragraph">
            <wp:posOffset>-635</wp:posOffset>
          </wp:positionV>
          <wp:extent cx="923925" cy="400050"/>
          <wp:effectExtent l="0" t="0" r="952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00DE2D49" w:rsidRPr="003F683D">
      <w:rPr>
        <w:rFonts w:ascii="Times New Roman" w:hAnsi="Times New Roman" w:cs="Times New Roman"/>
        <w:sz w:val="20"/>
        <w:szCs w:val="20"/>
      </w:rPr>
      <w:t>)</w:t>
    </w:r>
    <w:r w:rsidR="00DE2D49">
      <w:rPr>
        <w:rFonts w:ascii="Times New Roman" w:hAnsi="Times New Roman" w:cs="Times New Roman"/>
        <w:sz w:val="20"/>
        <w:szCs w:val="20"/>
      </w:rPr>
      <w:t xml:space="preserve"> p.</w:t>
    </w:r>
    <w:r w:rsidR="00D728ED">
      <w:rPr>
        <w:rFonts w:ascii="Times New Roman" w:hAnsi="Times New Roman" w:cs="Times New Roman"/>
        <w:sz w:val="20"/>
        <w:szCs w:val="20"/>
      </w:rPr>
      <w:t>10</w:t>
    </w:r>
    <w:r w:rsidR="00DE2D49" w:rsidRPr="003F683D">
      <w:rPr>
        <w:rFonts w:ascii="Times New Roman" w:hAnsi="Times New Roman" w:cs="Times New Roman"/>
        <w:sz w:val="20"/>
        <w:szCs w:val="20"/>
      </w:rPr>
      <w:t>-</w:t>
    </w:r>
    <w:r w:rsidR="00DE2D49">
      <w:rPr>
        <w:rFonts w:ascii="Times New Roman" w:hAnsi="Times New Roman" w:cs="Times New Roman"/>
        <w:sz w:val="20"/>
        <w:szCs w:val="20"/>
      </w:rPr>
      <w:t>17</w:t>
    </w:r>
    <w:r w:rsidR="00DE2D49" w:rsidRPr="003F683D">
      <w:rPr>
        <w:rFonts w:ascii="Times New Roman" w:hAnsi="Times New Roman" w:cs="Times New Roman"/>
        <w:sz w:val="20"/>
        <w:szCs w:val="20"/>
      </w:rPr>
      <w:t xml:space="preserve">, </w:t>
    </w:r>
    <w:r w:rsidR="00DE2D49">
      <w:rPr>
        <w:rFonts w:ascii="Times New Roman" w:hAnsi="Times New Roman" w:cs="Times New Roman"/>
        <w:sz w:val="20"/>
        <w:szCs w:val="20"/>
      </w:rPr>
      <w:t>jul</w:t>
    </w:r>
    <w:r w:rsidR="00DE2D49" w:rsidRPr="003F683D">
      <w:rPr>
        <w:rFonts w:ascii="Times New Roman" w:hAnsi="Times New Roman" w:cs="Times New Roman"/>
        <w:sz w:val="20"/>
        <w:szCs w:val="20"/>
      </w:rPr>
      <w:t>./</w:t>
    </w:r>
    <w:r w:rsidR="00DE2D49">
      <w:rPr>
        <w:rFonts w:ascii="Times New Roman" w:hAnsi="Times New Roman" w:cs="Times New Roman"/>
        <w:sz w:val="20"/>
        <w:szCs w:val="20"/>
      </w:rPr>
      <w:t>set</w:t>
    </w:r>
    <w:r w:rsidR="00DE2D49" w:rsidRPr="003F683D">
      <w:rPr>
        <w:rFonts w:ascii="Times New Roman" w:hAnsi="Times New Roman" w:cs="Times New Roman"/>
        <w:sz w:val="20"/>
        <w:szCs w:val="20"/>
      </w:rPr>
      <w:t>.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2DE39" w14:textId="565BA3E3" w:rsidR="00D83A47" w:rsidRPr="003F683D" w:rsidRDefault="00D83A47" w:rsidP="00D83A47">
    <w:pPr>
      <w:pStyle w:val="Rodap"/>
      <w:spacing w:before="120" w:line="276" w:lineRule="auto"/>
      <w:rPr>
        <w:rFonts w:ascii="Times New Roman" w:hAnsi="Times New Roman" w:cs="Times New Roman"/>
        <w:sz w:val="20"/>
        <w:szCs w:val="20"/>
      </w:rPr>
    </w:pPr>
    <w:bookmarkStart w:id="1" w:name="_Hlk14161089"/>
    <w:r>
      <w:rPr>
        <w:noProof/>
        <w:lang w:eastAsia="pt-BR"/>
      </w:rPr>
      <w:drawing>
        <wp:anchor distT="0" distB="0" distL="114300" distR="114300" simplePos="0" relativeHeight="251659264" behindDoc="0" locked="0" layoutInCell="1" allowOverlap="1" wp14:anchorId="5D2AD27C" wp14:editId="4ED9CFCE">
          <wp:simplePos x="0" y="0"/>
          <wp:positionH relativeFrom="column">
            <wp:posOffset>5162550</wp:posOffset>
          </wp:positionH>
          <wp:positionV relativeFrom="paragraph">
            <wp:posOffset>-635</wp:posOffset>
          </wp:positionV>
          <wp:extent cx="923925" cy="400050"/>
          <wp:effectExtent l="0" t="0" r="952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w:t>
    </w:r>
    <w:r w:rsidR="00D728ED">
      <w:rPr>
        <w:rFonts w:ascii="Times New Roman" w:hAnsi="Times New Roman" w:cs="Times New Roman"/>
        <w:sz w:val="20"/>
        <w:szCs w:val="20"/>
      </w:rPr>
      <w:t>10</w:t>
    </w:r>
    <w:r w:rsidRPr="003F683D">
      <w:rPr>
        <w:rFonts w:ascii="Times New Roman" w:hAnsi="Times New Roman" w:cs="Times New Roman"/>
        <w:sz w:val="20"/>
        <w:szCs w:val="20"/>
      </w:rPr>
      <w:t>-</w:t>
    </w:r>
    <w:r w:rsidR="00DE2D49">
      <w:rPr>
        <w:rFonts w:ascii="Times New Roman" w:hAnsi="Times New Roman" w:cs="Times New Roman"/>
        <w:sz w:val="20"/>
        <w:szCs w:val="20"/>
      </w:rPr>
      <w:t>17</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bookmarkEnd w:id="1"/>
  <w:p w14:paraId="491400A8" w14:textId="77777777" w:rsidR="00D83A47" w:rsidRDefault="00D83A4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37082" w14:textId="77777777" w:rsidR="00B83128" w:rsidRDefault="00B83128" w:rsidP="00A034C9">
      <w:pPr>
        <w:spacing w:after="0" w:line="240" w:lineRule="auto"/>
      </w:pPr>
      <w:r>
        <w:separator/>
      </w:r>
    </w:p>
  </w:footnote>
  <w:footnote w:type="continuationSeparator" w:id="0">
    <w:p w14:paraId="69346C0F" w14:textId="77777777" w:rsidR="00B83128" w:rsidRDefault="00B83128" w:rsidP="00A03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9E958" w14:textId="77777777" w:rsidR="00D83A47" w:rsidRPr="00D83A47" w:rsidRDefault="00D83A47" w:rsidP="00D83A47">
    <w:pPr>
      <w:jc w:val="center"/>
      <w:rPr>
        <w:rFonts w:ascii="Times New Roman" w:hAnsi="Times New Roman" w:cs="Times New Roman"/>
        <w:i/>
        <w:iCs/>
        <w:sz w:val="20"/>
        <w:szCs w:val="20"/>
      </w:rPr>
    </w:pPr>
    <w:r w:rsidRPr="00800481">
      <w:rPr>
        <w:rFonts w:ascii="Times New Roman" w:hAnsi="Times New Roman" w:cs="Times New Roman"/>
        <w:i/>
        <w:iCs/>
        <w:sz w:val="20"/>
        <w:szCs w:val="20"/>
      </w:rPr>
      <w:t>Erich dos Reis Duarte &amp; Luiz Carlos Reis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E69FD" w14:textId="77777777" w:rsidR="00D83A47" w:rsidRPr="00D83A47" w:rsidRDefault="00D83A47" w:rsidP="00D83A47">
    <w:pPr>
      <w:jc w:val="center"/>
      <w:rPr>
        <w:rFonts w:ascii="Times New Roman" w:hAnsi="Times New Roman" w:cs="Times New Roman"/>
        <w:i/>
        <w:iCs/>
        <w:sz w:val="20"/>
        <w:szCs w:val="20"/>
      </w:rPr>
    </w:pPr>
    <w:r w:rsidRPr="00D83A47">
      <w:rPr>
        <w:rFonts w:ascii="Times New Roman" w:hAnsi="Times New Roman" w:cs="Times New Roman"/>
        <w:i/>
        <w:iCs/>
        <w:sz w:val="20"/>
        <w:szCs w:val="20"/>
      </w:rPr>
      <w:t>Estudo prévio do impacto ambiental e econômico na propriedade e os princípios constitucionais ambientais</w:t>
    </w:r>
  </w:p>
  <w:p w14:paraId="7E74CF1F" w14:textId="77777777" w:rsidR="00D83A47" w:rsidRDefault="00D83A4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8175" w14:textId="77777777" w:rsidR="00D83A47" w:rsidRDefault="00D83A47">
    <w:pPr>
      <w:pStyle w:val="Cabealho"/>
    </w:pPr>
    <w:r>
      <w:rPr>
        <w:noProof/>
        <w:lang w:eastAsia="pt-BR"/>
      </w:rPr>
      <mc:AlternateContent>
        <mc:Choice Requires="wps">
          <w:drawing>
            <wp:anchor distT="4294967295" distB="4294967295" distL="114300" distR="114300" simplePos="0" relativeHeight="251667456" behindDoc="0" locked="0" layoutInCell="1" allowOverlap="1" wp14:anchorId="74077EEE" wp14:editId="5E9D595C">
              <wp:simplePos x="0" y="0"/>
              <wp:positionH relativeFrom="column">
                <wp:posOffset>-5715</wp:posOffset>
              </wp:positionH>
              <wp:positionV relativeFrom="paragraph">
                <wp:posOffset>861695</wp:posOffset>
              </wp:positionV>
              <wp:extent cx="6153150" cy="0"/>
              <wp:effectExtent l="0" t="0" r="0" b="0"/>
              <wp:wrapNone/>
              <wp:docPr id="72" name="Conector reto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1F1117" id="Conector reto 7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7.85pt" to="484.0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" strokecolor="#70ad47 [3209]" strokeweight="1.5pt">
              <v:stroke joinstyle="miter"/>
              <o:lock v:ext="edit" shapetype="f"/>
            </v:line>
          </w:pict>
        </mc:Fallback>
      </mc:AlternateContent>
    </w:r>
    <w:r>
      <w:rPr>
        <w:noProof/>
        <w:lang w:eastAsia="pt-BR"/>
      </w:rPr>
      <w:drawing>
        <wp:anchor distT="0" distB="0" distL="114300" distR="114300" simplePos="0" relativeHeight="251666432" behindDoc="0" locked="0" layoutInCell="1" allowOverlap="1" wp14:anchorId="557A03A6" wp14:editId="44EAE05B">
          <wp:simplePos x="0" y="0"/>
          <wp:positionH relativeFrom="column">
            <wp:posOffset>64770</wp:posOffset>
          </wp:positionH>
          <wp:positionV relativeFrom="paragraph">
            <wp:posOffset>37465</wp:posOffset>
          </wp:positionV>
          <wp:extent cx="874395" cy="781685"/>
          <wp:effectExtent l="0" t="0" r="1905" b="0"/>
          <wp:wrapTopAndBottom/>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7816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65408" behindDoc="0" locked="0" layoutInCell="1" allowOverlap="1" wp14:anchorId="01ADCFDD" wp14:editId="040C0BBC">
              <wp:simplePos x="0" y="0"/>
              <wp:positionH relativeFrom="column">
                <wp:posOffset>13335</wp:posOffset>
              </wp:positionH>
              <wp:positionV relativeFrom="paragraph">
                <wp:posOffset>35560</wp:posOffset>
              </wp:positionV>
              <wp:extent cx="4114800" cy="781685"/>
              <wp:effectExtent l="0" t="0" r="0" b="0"/>
              <wp:wrapSquare wrapText="bothSides"/>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81685"/>
                      </a:xfrm>
                      <a:prstGeom prst="rect">
                        <a:avLst/>
                      </a:prstGeom>
                      <a:solidFill>
                        <a:srgbClr val="FFFFFF"/>
                      </a:solidFill>
                      <a:ln w="9525">
                        <a:noFill/>
                        <a:miter lim="800000"/>
                        <a:headEnd/>
                        <a:tailEnd/>
                      </a:ln>
                    </wps:spPr>
                    <wps:txb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DCFDD" id="_x0000_t202" coordsize="21600,21600" o:spt="202" path="m,l,21600r21600,l21600,xe">
              <v:stroke joinstyle="miter"/>
              <v:path gradientshapeok="t" o:connecttype="rect"/>
            </v:shapetype>
            <v:shape id="Caixa de Texto 70" o:spid="_x0000_s1031" type="#_x0000_t202" style="position:absolute;margin-left:1.05pt;margin-top:2.8pt;width:324pt;height:6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" stroked="f">
              <v:textbo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E728B184"/>
    <w:lvl w:ilvl="0">
      <w:start w:val="1"/>
      <w:numFmt w:val="decimal"/>
      <w:pStyle w:val="Ttulo1"/>
      <w:lvlText w:val="%1"/>
      <w:lvlJc w:val="left"/>
      <w:pPr>
        <w:tabs>
          <w:tab w:val="num" w:pos="360"/>
        </w:tabs>
        <w:ind w:left="227" w:hanging="227"/>
      </w:pPr>
      <w:rPr>
        <w:rFonts w:ascii="Times New Roman" w:hAnsi="Times New Roman" w:cs="Times New Roman" w:hint="default"/>
        <w:b/>
        <w:i w:val="0"/>
        <w:sz w:val="24"/>
      </w:rPr>
    </w:lvl>
    <w:lvl w:ilvl="1">
      <w:start w:val="1"/>
      <w:numFmt w:val="decimal"/>
      <w:pStyle w:val="Ttulo2"/>
      <w:lvlText w:val="%1.%2"/>
      <w:lvlJc w:val="left"/>
      <w:pPr>
        <w:tabs>
          <w:tab w:val="num" w:pos="431"/>
        </w:tabs>
        <w:ind w:left="431" w:hanging="431"/>
      </w:pPr>
    </w:lvl>
    <w:lvl w:ilvl="2">
      <w:start w:val="1"/>
      <w:numFmt w:val="decimal"/>
      <w:lvlText w:val="%1.%2.%3"/>
      <w:lvlJc w:val="left"/>
      <w:pPr>
        <w:tabs>
          <w:tab w:val="num" w:pos="1288"/>
        </w:tabs>
        <w:ind w:left="568" w:firstLine="0"/>
      </w:pPr>
    </w:lvl>
    <w:lvl w:ilvl="3">
      <w:start w:val="1"/>
      <w:numFmt w:val="decimal"/>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3"/>
    <w:multiLevelType w:val="singleLevel"/>
    <w:tmpl w:val="00000003"/>
    <w:name w:val="WW8Num3"/>
    <w:lvl w:ilvl="0">
      <w:start w:val="1"/>
      <w:numFmt w:val="bullet"/>
      <w:lvlText w:val="-"/>
      <w:lvlJc w:val="left"/>
      <w:pPr>
        <w:tabs>
          <w:tab w:val="num" w:pos="2529"/>
        </w:tabs>
        <w:ind w:left="2529" w:hanging="397"/>
      </w:pPr>
      <w:rPr>
        <w:rFonts w:ascii="Times New Roman" w:hAnsi="Times New Roman" w:cs="Times New Roman"/>
      </w:rPr>
    </w:lvl>
  </w:abstractNum>
  <w:abstractNum w:abstractNumId="2">
    <w:nsid w:val="0DA77639"/>
    <w:multiLevelType w:val="multilevel"/>
    <w:tmpl w:val="5978C302"/>
    <w:lvl w:ilvl="0">
      <w:start w:val="1"/>
      <w:numFmt w:val="decimal"/>
      <w:pStyle w:val="Subal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C9"/>
    <w:rsid w:val="000462D0"/>
    <w:rsid w:val="000B64CF"/>
    <w:rsid w:val="000B65BB"/>
    <w:rsid w:val="00217966"/>
    <w:rsid w:val="00222FA7"/>
    <w:rsid w:val="00260C93"/>
    <w:rsid w:val="002B75F5"/>
    <w:rsid w:val="002E152A"/>
    <w:rsid w:val="002F6B1C"/>
    <w:rsid w:val="00311BA1"/>
    <w:rsid w:val="00343F10"/>
    <w:rsid w:val="0037284A"/>
    <w:rsid w:val="00406676"/>
    <w:rsid w:val="00426C05"/>
    <w:rsid w:val="00512C64"/>
    <w:rsid w:val="005A50B2"/>
    <w:rsid w:val="005F340C"/>
    <w:rsid w:val="006D5F47"/>
    <w:rsid w:val="00731306"/>
    <w:rsid w:val="007C743B"/>
    <w:rsid w:val="00800481"/>
    <w:rsid w:val="00850FDD"/>
    <w:rsid w:val="0092160A"/>
    <w:rsid w:val="0092652A"/>
    <w:rsid w:val="00975D39"/>
    <w:rsid w:val="009B5A04"/>
    <w:rsid w:val="009C3E79"/>
    <w:rsid w:val="009D4606"/>
    <w:rsid w:val="00A034C9"/>
    <w:rsid w:val="00A568B8"/>
    <w:rsid w:val="00A812CD"/>
    <w:rsid w:val="00AB4040"/>
    <w:rsid w:val="00B83128"/>
    <w:rsid w:val="00B9107D"/>
    <w:rsid w:val="00C22DD1"/>
    <w:rsid w:val="00C64671"/>
    <w:rsid w:val="00C82C7A"/>
    <w:rsid w:val="00D07D3A"/>
    <w:rsid w:val="00D27CB1"/>
    <w:rsid w:val="00D53E2B"/>
    <w:rsid w:val="00D728ED"/>
    <w:rsid w:val="00D83A47"/>
    <w:rsid w:val="00DE2D49"/>
    <w:rsid w:val="00DE7AB4"/>
    <w:rsid w:val="00E04E4F"/>
    <w:rsid w:val="00EB5535"/>
    <w:rsid w:val="00F024FB"/>
    <w:rsid w:val="00F375C8"/>
    <w:rsid w:val="00F76FE8"/>
    <w:rsid w:val="00FB15F5"/>
    <w:rsid w:val="00FD4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B9D4"/>
  <w15:chartTrackingRefBased/>
  <w15:docId w15:val="{DF94B437-070D-4C55-BDEA-1456349C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Pargrafo"/>
    <w:link w:val="Ttulo1Char"/>
    <w:qFormat/>
    <w:rsid w:val="00A034C9"/>
    <w:pPr>
      <w:keepNext/>
      <w:pageBreakBefore/>
      <w:widowControl w:val="0"/>
      <w:numPr>
        <w:numId w:val="1"/>
      </w:numPr>
      <w:tabs>
        <w:tab w:val="left" w:pos="227"/>
      </w:tabs>
      <w:suppressAutoHyphens/>
      <w:spacing w:after="360" w:line="360" w:lineRule="auto"/>
      <w:ind w:left="0" w:firstLine="0"/>
      <w:jc w:val="both"/>
      <w:outlineLvl w:val="0"/>
    </w:pPr>
    <w:rPr>
      <w:rFonts w:ascii="Arial" w:eastAsia="Times New Roman" w:hAnsi="Arial" w:cs="Times New Roman"/>
      <w:b/>
      <w:caps/>
      <w:kern w:val="1"/>
      <w:sz w:val="24"/>
      <w:szCs w:val="20"/>
      <w:lang w:eastAsia="ar-SA"/>
    </w:rPr>
  </w:style>
  <w:style w:type="paragraph" w:styleId="Ttulo2">
    <w:name w:val="heading 2"/>
    <w:basedOn w:val="Normal"/>
    <w:next w:val="Pargrafo"/>
    <w:link w:val="Ttulo2Char"/>
    <w:qFormat/>
    <w:rsid w:val="00A034C9"/>
    <w:pPr>
      <w:keepNext/>
      <w:widowControl w:val="0"/>
      <w:numPr>
        <w:ilvl w:val="1"/>
        <w:numId w:val="1"/>
      </w:numPr>
      <w:tabs>
        <w:tab w:val="left" w:pos="227"/>
      </w:tabs>
      <w:suppressAutoHyphens/>
      <w:spacing w:before="360" w:after="360" w:line="360" w:lineRule="auto"/>
      <w:ind w:left="0" w:firstLine="0"/>
      <w:jc w:val="both"/>
      <w:outlineLvl w:val="1"/>
    </w:pPr>
    <w:rPr>
      <w:rFonts w:ascii="Arial" w:eastAsia="Times New Roman" w:hAnsi="Arial" w:cs="Times New Roman"/>
      <w:caps/>
      <w:sz w:val="24"/>
      <w:szCs w:val="24"/>
      <w:lang w:eastAsia="ar-SA"/>
    </w:rPr>
  </w:style>
  <w:style w:type="paragraph" w:styleId="Ttulo6">
    <w:name w:val="heading 6"/>
    <w:basedOn w:val="Normal"/>
    <w:next w:val="Normal"/>
    <w:link w:val="Ttulo6Char"/>
    <w:qFormat/>
    <w:rsid w:val="00A034C9"/>
    <w:pPr>
      <w:pageBreakBefore/>
      <w:widowControl w:val="0"/>
      <w:suppressAutoHyphens/>
      <w:spacing w:after="360" w:line="360" w:lineRule="auto"/>
      <w:jc w:val="center"/>
      <w:outlineLvl w:val="5"/>
    </w:pPr>
    <w:rPr>
      <w:rFonts w:ascii="Arial" w:eastAsia="Times New Roman" w:hAnsi="Arial" w:cs="Times New Roman"/>
      <w:b/>
      <w:caps/>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4C9"/>
    <w:rPr>
      <w:rFonts w:ascii="Arial" w:eastAsia="Times New Roman" w:hAnsi="Arial" w:cs="Times New Roman"/>
      <w:b/>
      <w:caps/>
      <w:kern w:val="1"/>
      <w:sz w:val="24"/>
      <w:szCs w:val="20"/>
      <w:lang w:eastAsia="ar-SA"/>
    </w:rPr>
  </w:style>
  <w:style w:type="character" w:customStyle="1" w:styleId="Ttulo2Char">
    <w:name w:val="Título 2 Char"/>
    <w:basedOn w:val="Fontepargpadro"/>
    <w:link w:val="Ttulo2"/>
    <w:rsid w:val="00A034C9"/>
    <w:rPr>
      <w:rFonts w:ascii="Arial" w:eastAsia="Times New Roman" w:hAnsi="Arial" w:cs="Times New Roman"/>
      <w:caps/>
      <w:sz w:val="24"/>
      <w:szCs w:val="24"/>
      <w:lang w:eastAsia="ar-SA"/>
    </w:rPr>
  </w:style>
  <w:style w:type="character" w:customStyle="1" w:styleId="Ttulo6Char">
    <w:name w:val="Título 6 Char"/>
    <w:basedOn w:val="Fontepargpadro"/>
    <w:link w:val="Ttulo6"/>
    <w:rsid w:val="00A034C9"/>
    <w:rPr>
      <w:rFonts w:ascii="Arial" w:eastAsia="Times New Roman" w:hAnsi="Arial" w:cs="Times New Roman"/>
      <w:b/>
      <w:caps/>
      <w:sz w:val="24"/>
      <w:szCs w:val="20"/>
      <w:lang w:eastAsia="ar-SA"/>
    </w:rPr>
  </w:style>
  <w:style w:type="paragraph" w:customStyle="1" w:styleId="Pargrafo">
    <w:name w:val="Parágrafo"/>
    <w:basedOn w:val="Normal"/>
    <w:rsid w:val="00A034C9"/>
    <w:pPr>
      <w:widowControl w:val="0"/>
      <w:tabs>
        <w:tab w:val="left" w:pos="1701"/>
      </w:tabs>
      <w:suppressAutoHyphens/>
      <w:spacing w:after="0" w:line="360" w:lineRule="auto"/>
      <w:ind w:firstLine="1701"/>
      <w:jc w:val="both"/>
    </w:pPr>
    <w:rPr>
      <w:rFonts w:ascii="Arial" w:eastAsia="Times New Roman" w:hAnsi="Arial" w:cs="Times New Roman"/>
      <w:sz w:val="24"/>
      <w:szCs w:val="20"/>
      <w:lang w:eastAsia="ar-SA"/>
    </w:rPr>
  </w:style>
  <w:style w:type="paragraph" w:customStyle="1" w:styleId="CitaoLonga">
    <w:name w:val="Citação Longa"/>
    <w:basedOn w:val="Normal"/>
    <w:next w:val="Pargrafo"/>
    <w:rsid w:val="00A034C9"/>
    <w:pPr>
      <w:suppressAutoHyphens/>
      <w:spacing w:before="360" w:after="360" w:line="240" w:lineRule="auto"/>
      <w:ind w:left="2268"/>
      <w:jc w:val="both"/>
    </w:pPr>
    <w:rPr>
      <w:rFonts w:ascii="Arial" w:eastAsia="Times New Roman" w:hAnsi="Arial" w:cs="Times New Roman"/>
      <w:sz w:val="20"/>
      <w:szCs w:val="20"/>
      <w:lang w:eastAsia="ar-SA"/>
    </w:rPr>
  </w:style>
  <w:style w:type="paragraph" w:customStyle="1" w:styleId="Subalnea">
    <w:name w:val="Subalínea"/>
    <w:basedOn w:val="Normal"/>
    <w:rsid w:val="00A034C9"/>
    <w:pPr>
      <w:widowControl w:val="0"/>
      <w:numPr>
        <w:numId w:val="3"/>
      </w:numPr>
      <w:suppressAutoHyphens/>
      <w:spacing w:after="0" w:line="360" w:lineRule="auto"/>
      <w:jc w:val="both"/>
    </w:pPr>
    <w:rPr>
      <w:rFonts w:ascii="Arial" w:eastAsia="Times New Roman" w:hAnsi="Arial" w:cs="Times New Roman"/>
      <w:sz w:val="24"/>
      <w:szCs w:val="20"/>
      <w:lang w:eastAsia="ar-SA"/>
    </w:rPr>
  </w:style>
  <w:style w:type="paragraph" w:customStyle="1" w:styleId="Referncias">
    <w:name w:val="Referências"/>
    <w:basedOn w:val="Normal"/>
    <w:rsid w:val="00A034C9"/>
    <w:pPr>
      <w:suppressAutoHyphens/>
      <w:spacing w:after="360" w:line="240" w:lineRule="auto"/>
      <w:jc w:val="both"/>
    </w:pPr>
    <w:rPr>
      <w:rFonts w:ascii="Arial" w:eastAsia="Times New Roman" w:hAnsi="Arial" w:cs="Times New Roman"/>
      <w:sz w:val="24"/>
      <w:szCs w:val="24"/>
      <w:lang w:eastAsia="ar-SA"/>
    </w:rPr>
  </w:style>
  <w:style w:type="paragraph" w:customStyle="1" w:styleId="NotadeRodap">
    <w:name w:val="Nota de Rodapé"/>
    <w:basedOn w:val="Normal"/>
    <w:rsid w:val="00A034C9"/>
    <w:pPr>
      <w:widowControl w:val="0"/>
      <w:suppressAutoHyphens/>
      <w:spacing w:after="0" w:line="240" w:lineRule="auto"/>
    </w:pPr>
    <w:rPr>
      <w:rFonts w:ascii="Arial" w:eastAsia="Times New Roman" w:hAnsi="Arial" w:cs="Times New Roman"/>
      <w:sz w:val="20"/>
      <w:szCs w:val="20"/>
      <w:lang w:eastAsia="ar-SA"/>
    </w:rPr>
  </w:style>
  <w:style w:type="paragraph" w:customStyle="1" w:styleId="TituloApndiceeAnexo">
    <w:name w:val="Titulo Apêndice e Anexo"/>
    <w:basedOn w:val="Normal"/>
    <w:next w:val="Pargrafo"/>
    <w:rsid w:val="00A034C9"/>
    <w:pPr>
      <w:widowControl w:val="0"/>
      <w:suppressAutoHyphens/>
      <w:spacing w:after="360" w:line="240" w:lineRule="auto"/>
      <w:jc w:val="center"/>
    </w:pPr>
    <w:rPr>
      <w:rFonts w:ascii="Arial" w:eastAsia="Times New Roman" w:hAnsi="Arial" w:cs="Times New Roman"/>
      <w:sz w:val="24"/>
      <w:szCs w:val="20"/>
      <w:lang w:eastAsia="ar-SA"/>
    </w:rPr>
  </w:style>
  <w:style w:type="paragraph" w:customStyle="1" w:styleId="TtulodeFigura">
    <w:name w:val="Título de Figura"/>
    <w:basedOn w:val="Normal"/>
    <w:next w:val="Fonte"/>
    <w:rsid w:val="00A034C9"/>
    <w:pPr>
      <w:widowControl w:val="0"/>
      <w:suppressAutoHyphens/>
      <w:spacing w:after="0" w:line="240" w:lineRule="auto"/>
      <w:jc w:val="center"/>
    </w:pPr>
    <w:rPr>
      <w:rFonts w:ascii="Arial" w:eastAsia="Times New Roman" w:hAnsi="Arial" w:cs="Times New Roman"/>
      <w:sz w:val="20"/>
      <w:szCs w:val="20"/>
      <w:lang w:eastAsia="ar-SA"/>
    </w:rPr>
  </w:style>
  <w:style w:type="paragraph" w:customStyle="1" w:styleId="Fonte">
    <w:name w:val="Fonte"/>
    <w:basedOn w:val="Normal"/>
    <w:next w:val="Pargrafo"/>
    <w:rsid w:val="00A034C9"/>
    <w:pPr>
      <w:widowControl w:val="0"/>
      <w:suppressAutoHyphens/>
      <w:spacing w:after="360" w:line="240" w:lineRule="auto"/>
      <w:jc w:val="center"/>
    </w:pPr>
    <w:rPr>
      <w:rFonts w:ascii="Arial" w:eastAsia="Times New Roman" w:hAnsi="Arial" w:cs="Times New Roman"/>
      <w:sz w:val="20"/>
      <w:szCs w:val="20"/>
      <w:lang w:eastAsia="ar-SA"/>
    </w:rPr>
  </w:style>
  <w:style w:type="paragraph" w:customStyle="1" w:styleId="FiguraouGrfico">
    <w:name w:val="Figura ou Gráfico"/>
    <w:basedOn w:val="Normal"/>
    <w:next w:val="Normal"/>
    <w:rsid w:val="00A034C9"/>
    <w:pPr>
      <w:widowControl w:val="0"/>
      <w:suppressAutoHyphens/>
      <w:spacing w:before="360" w:after="0" w:line="240" w:lineRule="auto"/>
      <w:jc w:val="center"/>
    </w:pPr>
    <w:rPr>
      <w:rFonts w:ascii="Arial" w:eastAsia="Times New Roman" w:hAnsi="Arial" w:cs="Times New Roman"/>
      <w:sz w:val="24"/>
      <w:szCs w:val="20"/>
      <w:lang w:eastAsia="ar-SA"/>
    </w:rPr>
  </w:style>
  <w:style w:type="paragraph" w:customStyle="1" w:styleId="Texto-TabelaeQuadro">
    <w:name w:val="Texto - Tabela e Quadro"/>
    <w:basedOn w:val="Normal"/>
    <w:rsid w:val="00A034C9"/>
    <w:pPr>
      <w:widowControl w:val="0"/>
      <w:suppressAutoHyphens/>
      <w:spacing w:after="0" w:line="240" w:lineRule="auto"/>
      <w:jc w:val="both"/>
    </w:pPr>
    <w:rPr>
      <w:rFonts w:ascii="Arial" w:eastAsia="Times New Roman" w:hAnsi="Arial" w:cs="Times New Roman"/>
      <w:sz w:val="20"/>
      <w:szCs w:val="20"/>
      <w:lang w:eastAsia="ar-SA"/>
    </w:rPr>
  </w:style>
  <w:style w:type="paragraph" w:styleId="Textodebalo">
    <w:name w:val="Balloon Text"/>
    <w:basedOn w:val="Normal"/>
    <w:link w:val="TextodebaloChar"/>
    <w:uiPriority w:val="99"/>
    <w:semiHidden/>
    <w:unhideWhenUsed/>
    <w:rsid w:val="00A034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34C9"/>
    <w:rPr>
      <w:rFonts w:ascii="Segoe UI" w:hAnsi="Segoe UI" w:cs="Segoe UI"/>
      <w:sz w:val="18"/>
      <w:szCs w:val="18"/>
    </w:rPr>
  </w:style>
  <w:style w:type="paragraph" w:styleId="Cabealho">
    <w:name w:val="header"/>
    <w:basedOn w:val="Normal"/>
    <w:link w:val="CabealhoChar"/>
    <w:uiPriority w:val="99"/>
    <w:unhideWhenUsed/>
    <w:rsid w:val="00D83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A47"/>
  </w:style>
  <w:style w:type="paragraph" w:styleId="Rodap">
    <w:name w:val="footer"/>
    <w:basedOn w:val="Normal"/>
    <w:link w:val="RodapChar"/>
    <w:uiPriority w:val="99"/>
    <w:unhideWhenUsed/>
    <w:rsid w:val="00D83A47"/>
    <w:pPr>
      <w:tabs>
        <w:tab w:val="center" w:pos="4252"/>
        <w:tab w:val="right" w:pos="8504"/>
      </w:tabs>
      <w:spacing w:after="0" w:line="240" w:lineRule="auto"/>
    </w:pPr>
  </w:style>
  <w:style w:type="character" w:customStyle="1" w:styleId="RodapChar">
    <w:name w:val="Rodapé Char"/>
    <w:basedOn w:val="Fontepargpadro"/>
    <w:link w:val="Rodap"/>
    <w:uiPriority w:val="99"/>
    <w:rsid w:val="00D83A47"/>
  </w:style>
  <w:style w:type="character" w:customStyle="1" w:styleId="SemEspaamentoChar">
    <w:name w:val="Sem Espaçamento Char"/>
    <w:link w:val="SemEspaamento"/>
    <w:uiPriority w:val="1"/>
    <w:locked/>
    <w:rsid w:val="00D83A47"/>
    <w:rPr>
      <w:rFonts w:ascii="Calibri" w:eastAsia="Calibri" w:hAnsi="Calibri" w:cs="Times New Roman"/>
    </w:rPr>
  </w:style>
  <w:style w:type="paragraph" w:styleId="SemEspaamento">
    <w:name w:val="No Spacing"/>
    <w:link w:val="SemEspaamentoChar"/>
    <w:uiPriority w:val="1"/>
    <w:qFormat/>
    <w:rsid w:val="00D83A47"/>
    <w:pPr>
      <w:spacing w:after="0" w:line="240" w:lineRule="auto"/>
    </w:pPr>
    <w:rPr>
      <w:rFonts w:ascii="Calibri" w:eastAsia="Calibri" w:hAnsi="Calibri" w:cs="Times New Roman"/>
    </w:rPr>
  </w:style>
  <w:style w:type="character" w:styleId="Refdecomentrio">
    <w:name w:val="annotation reference"/>
    <w:basedOn w:val="Fontepargpadro"/>
    <w:uiPriority w:val="99"/>
    <w:semiHidden/>
    <w:unhideWhenUsed/>
    <w:rsid w:val="00D83A47"/>
    <w:rPr>
      <w:sz w:val="16"/>
      <w:szCs w:val="16"/>
    </w:rPr>
  </w:style>
  <w:style w:type="paragraph" w:styleId="Textodecomentrio">
    <w:name w:val="annotation text"/>
    <w:basedOn w:val="Normal"/>
    <w:link w:val="TextodecomentrioChar"/>
    <w:uiPriority w:val="99"/>
    <w:semiHidden/>
    <w:unhideWhenUsed/>
    <w:rsid w:val="00D83A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3A47"/>
    <w:rPr>
      <w:sz w:val="20"/>
      <w:szCs w:val="20"/>
    </w:rPr>
  </w:style>
  <w:style w:type="paragraph" w:styleId="Assuntodocomentrio">
    <w:name w:val="annotation subject"/>
    <w:basedOn w:val="Textodecomentrio"/>
    <w:next w:val="Textodecomentrio"/>
    <w:link w:val="AssuntodocomentrioChar"/>
    <w:uiPriority w:val="99"/>
    <w:semiHidden/>
    <w:unhideWhenUsed/>
    <w:rsid w:val="00D83A47"/>
    <w:rPr>
      <w:b/>
      <w:bCs/>
    </w:rPr>
  </w:style>
  <w:style w:type="character" w:customStyle="1" w:styleId="AssuntodocomentrioChar">
    <w:name w:val="Assunto do comentário Char"/>
    <w:basedOn w:val="TextodecomentrioChar"/>
    <w:link w:val="Assuntodocomentrio"/>
    <w:uiPriority w:val="99"/>
    <w:semiHidden/>
    <w:rsid w:val="00D83A47"/>
    <w:rPr>
      <w:b/>
      <w:bCs/>
      <w:sz w:val="20"/>
      <w:szCs w:val="20"/>
    </w:rPr>
  </w:style>
  <w:style w:type="paragraph" w:styleId="Reviso">
    <w:name w:val="Revision"/>
    <w:hidden/>
    <w:uiPriority w:val="99"/>
    <w:semiHidden/>
    <w:rsid w:val="00D83A47"/>
    <w:pPr>
      <w:spacing w:after="0" w:line="240" w:lineRule="auto"/>
    </w:pPr>
  </w:style>
  <w:style w:type="character" w:styleId="Hyperlink">
    <w:name w:val="Hyperlink"/>
    <w:basedOn w:val="Fontepargpadro"/>
    <w:uiPriority w:val="99"/>
    <w:unhideWhenUsed/>
    <w:rsid w:val="009B5A04"/>
    <w:rPr>
      <w:color w:val="0563C1" w:themeColor="hyperlink"/>
      <w:u w:val="single"/>
    </w:rPr>
  </w:style>
  <w:style w:type="character" w:customStyle="1" w:styleId="UnresolvedMention">
    <w:name w:val="Unresolved Mention"/>
    <w:basedOn w:val="Fontepargpadro"/>
    <w:uiPriority w:val="99"/>
    <w:semiHidden/>
    <w:unhideWhenUsed/>
    <w:rsid w:val="009B5A04"/>
    <w:rPr>
      <w:color w:val="605E5C"/>
      <w:shd w:val="clear" w:color="auto" w:fill="E1DFDD"/>
    </w:rPr>
  </w:style>
  <w:style w:type="paragraph" w:styleId="NormalWeb">
    <w:name w:val="Normal (Web)"/>
    <w:basedOn w:val="Normal"/>
    <w:uiPriority w:val="99"/>
    <w:semiHidden/>
    <w:unhideWhenUsed/>
    <w:rsid w:val="00AB404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6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o.leite@ifrn.edu.br" TargetMode="Externa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49086-942E-4DB8-8BFC-4105A037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3187</Words>
  <Characters>17210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Revisores</dc:creator>
  <cp:keywords/>
  <dc:description/>
  <cp:lastModifiedBy>Antonio Iranaldo Nunes Leite</cp:lastModifiedBy>
  <cp:revision>25</cp:revision>
  <cp:lastPrinted>2019-09-13T19:36:00Z</cp:lastPrinted>
  <dcterms:created xsi:type="dcterms:W3CDTF">2019-11-18T19:32:00Z</dcterms:created>
  <dcterms:modified xsi:type="dcterms:W3CDTF">2020-01-20T18:53:00Z</dcterms:modified>
</cp:coreProperties>
</file>