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A2" w:rsidRDefault="001404A2" w:rsidP="00AC24A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CARACTERIZAÇÃO FÍSICA E </w:t>
      </w:r>
      <w:proofErr w:type="spellStart"/>
      <w:proofErr w:type="gramStart"/>
      <w:r w:rsidRPr="003375E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BRIX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1404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SPONDIAS </w:t>
      </w:r>
      <w:r w:rsidR="00AE020D">
        <w:rPr>
          <w:rFonts w:ascii="Times New Roman" w:hAnsi="Times New Roman" w:cs="Times New Roman"/>
          <w:b/>
          <w:bCs/>
          <w:sz w:val="24"/>
          <w:szCs w:val="24"/>
        </w:rPr>
        <w:t>EM DIFERENTES ESTÁG</w:t>
      </w:r>
      <w:r>
        <w:rPr>
          <w:rFonts w:ascii="Times New Roman" w:hAnsi="Times New Roman" w:cs="Times New Roman"/>
          <w:b/>
          <w:bCs/>
          <w:sz w:val="24"/>
          <w:szCs w:val="24"/>
        </w:rPr>
        <w:t>IOS DE MATURAÇÃO</w:t>
      </w:r>
    </w:p>
    <w:p w:rsidR="005E4D64" w:rsidRPr="009C7C29" w:rsidRDefault="005E4D64" w:rsidP="009C7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45BC5" w:rsidRPr="009C7C29" w:rsidRDefault="00CF3200" w:rsidP="009C7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C7C29">
        <w:rPr>
          <w:rFonts w:ascii="Times New Roman" w:hAnsi="Times New Roman" w:cs="Times New Roman"/>
          <w:i/>
          <w:iCs/>
          <w:sz w:val="24"/>
          <w:szCs w:val="24"/>
        </w:rPr>
        <w:t>Danila</w:t>
      </w:r>
      <w:proofErr w:type="spellEnd"/>
      <w:r w:rsidRPr="009C7C29">
        <w:rPr>
          <w:rFonts w:ascii="Times New Roman" w:hAnsi="Times New Roman" w:cs="Times New Roman"/>
          <w:i/>
          <w:iCs/>
          <w:sz w:val="24"/>
          <w:szCs w:val="24"/>
        </w:rPr>
        <w:t xml:space="preserve"> Lima de Araújo</w:t>
      </w:r>
    </w:p>
    <w:p w:rsidR="00846F99" w:rsidRPr="009C7C29" w:rsidRDefault="00846F99" w:rsidP="009C7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C7C29">
        <w:rPr>
          <w:rFonts w:ascii="Times New Roman" w:hAnsi="Times New Roman" w:cs="Times New Roman"/>
          <w:sz w:val="24"/>
          <w:szCs w:val="24"/>
        </w:rPr>
        <w:t>Lic</w:t>
      </w:r>
      <w:proofErr w:type="spellEnd"/>
      <w:r w:rsidRPr="009C7C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C7C2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C7C29">
        <w:rPr>
          <w:rFonts w:ascii="Times New Roman" w:hAnsi="Times New Roman" w:cs="Times New Roman"/>
          <w:sz w:val="24"/>
          <w:szCs w:val="24"/>
        </w:rPr>
        <w:t xml:space="preserve"> Bach. </w:t>
      </w:r>
      <w:proofErr w:type="gramStart"/>
      <w:r w:rsidRPr="009C7C29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9C7C29">
        <w:rPr>
          <w:rFonts w:ascii="Times New Roman" w:hAnsi="Times New Roman" w:cs="Times New Roman"/>
          <w:sz w:val="24"/>
          <w:szCs w:val="24"/>
        </w:rPr>
        <w:t xml:space="preserve"> </w:t>
      </w:r>
      <w:r w:rsidR="009C7C29" w:rsidRPr="009C7C29">
        <w:rPr>
          <w:rFonts w:ascii="Times New Roman" w:hAnsi="Times New Roman" w:cs="Times New Roman"/>
          <w:sz w:val="24"/>
          <w:szCs w:val="24"/>
        </w:rPr>
        <w:t>Ciências</w:t>
      </w:r>
      <w:r w:rsidRPr="009C7C29">
        <w:rPr>
          <w:rFonts w:ascii="Times New Roman" w:hAnsi="Times New Roman" w:cs="Times New Roman"/>
          <w:sz w:val="24"/>
          <w:szCs w:val="24"/>
        </w:rPr>
        <w:t xml:space="preserve"> Agrárias, mestranda da Universidade Federal de campina Grande (UFCG), campina grande-PB</w:t>
      </w:r>
    </w:p>
    <w:p w:rsidR="00CF3200" w:rsidRPr="009C7C29" w:rsidRDefault="00CF3200" w:rsidP="009C7C2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7C29">
        <w:rPr>
          <w:rFonts w:ascii="Times New Roman" w:hAnsi="Times New Roman" w:cs="Times New Roman"/>
          <w:iCs/>
          <w:sz w:val="24"/>
          <w:szCs w:val="24"/>
        </w:rPr>
        <w:t xml:space="preserve">Email: </w:t>
      </w:r>
      <w:hyperlink r:id="rId5" w:history="1">
        <w:r w:rsidRPr="009C7C29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danilalimaraujo@hotmail.com</w:t>
        </w:r>
      </w:hyperlink>
      <w:r w:rsidRPr="009C7C2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F3200" w:rsidRPr="009C7C29" w:rsidRDefault="00CF3200" w:rsidP="009C7C2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F3200" w:rsidRPr="009C7C29" w:rsidRDefault="00CF3200" w:rsidP="009C7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C7C29">
        <w:rPr>
          <w:rFonts w:ascii="Times New Roman" w:hAnsi="Times New Roman" w:cs="Times New Roman"/>
          <w:i/>
          <w:iCs/>
          <w:sz w:val="24"/>
          <w:szCs w:val="24"/>
        </w:rPr>
        <w:t>Shirlyanne</w:t>
      </w:r>
      <w:proofErr w:type="spellEnd"/>
      <w:r w:rsidRPr="009C7C29">
        <w:rPr>
          <w:rFonts w:ascii="Times New Roman" w:hAnsi="Times New Roman" w:cs="Times New Roman"/>
          <w:i/>
          <w:iCs/>
          <w:sz w:val="24"/>
          <w:szCs w:val="24"/>
        </w:rPr>
        <w:t xml:space="preserve"> Ferreira da Silva</w:t>
      </w:r>
    </w:p>
    <w:p w:rsidR="00CF3200" w:rsidRPr="009C7C29" w:rsidRDefault="00846F99" w:rsidP="009C7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C29">
        <w:rPr>
          <w:rFonts w:ascii="Times New Roman" w:hAnsi="Times New Roman" w:cs="Times New Roman"/>
          <w:sz w:val="24"/>
          <w:szCs w:val="24"/>
        </w:rPr>
        <w:t xml:space="preserve">Licenciada e Bacharelada em </w:t>
      </w:r>
      <w:r w:rsidR="009C7C29" w:rsidRPr="009C7C29">
        <w:rPr>
          <w:rFonts w:ascii="Times New Roman" w:hAnsi="Times New Roman" w:cs="Times New Roman"/>
          <w:sz w:val="24"/>
          <w:szCs w:val="24"/>
        </w:rPr>
        <w:t>Ciências</w:t>
      </w:r>
      <w:r w:rsidRPr="009C7C29">
        <w:rPr>
          <w:rFonts w:ascii="Times New Roman" w:hAnsi="Times New Roman" w:cs="Times New Roman"/>
          <w:sz w:val="24"/>
          <w:szCs w:val="24"/>
        </w:rPr>
        <w:t xml:space="preserve"> Agrárias, Universi</w:t>
      </w:r>
      <w:r w:rsidR="009C7C29" w:rsidRPr="009C7C29">
        <w:rPr>
          <w:rFonts w:ascii="Times New Roman" w:hAnsi="Times New Roman" w:cs="Times New Roman"/>
          <w:sz w:val="24"/>
          <w:szCs w:val="24"/>
        </w:rPr>
        <w:t>dade Estadual da Paraíba (UEPB)</w:t>
      </w:r>
      <w:r w:rsidRPr="009C7C29">
        <w:rPr>
          <w:rFonts w:ascii="Times New Roman" w:hAnsi="Times New Roman" w:cs="Times New Roman"/>
          <w:sz w:val="24"/>
          <w:szCs w:val="24"/>
        </w:rPr>
        <w:t>, Catolé do Rocha-PB</w:t>
      </w:r>
    </w:p>
    <w:p w:rsidR="00846F99" w:rsidRPr="00C7586F" w:rsidRDefault="00846F99" w:rsidP="009C7C2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7586F">
        <w:rPr>
          <w:rFonts w:ascii="Times New Roman" w:hAnsi="Times New Roman" w:cs="Times New Roman"/>
          <w:sz w:val="24"/>
          <w:szCs w:val="24"/>
        </w:rPr>
        <w:t>Email:</w:t>
      </w:r>
      <w:r w:rsidR="001F5789" w:rsidRPr="00C7586F">
        <w:rPr>
          <w:rFonts w:ascii="Times New Roman" w:hAnsi="Times New Roman" w:cs="Times New Roman"/>
          <w:color w:val="2A2A2A"/>
          <w:sz w:val="24"/>
          <w:szCs w:val="24"/>
          <w:shd w:val="clear" w:color="auto" w:fill="FCFCFC"/>
        </w:rPr>
        <w:t xml:space="preserve"> </w:t>
      </w:r>
      <w:hyperlink r:id="rId6" w:history="1">
        <w:r w:rsidR="001F5789" w:rsidRPr="00C7586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shisferreira@hotmail.com</w:t>
        </w:r>
      </w:hyperlink>
    </w:p>
    <w:p w:rsidR="00CF3200" w:rsidRPr="00C7586F" w:rsidRDefault="00CF3200" w:rsidP="009C7C2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4627D2" w:rsidRPr="009C7C29" w:rsidRDefault="004627D2" w:rsidP="009C7C2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7C29">
        <w:rPr>
          <w:rFonts w:ascii="Times New Roman" w:hAnsi="Times New Roman" w:cs="Times New Roman"/>
          <w:iCs/>
          <w:sz w:val="24"/>
          <w:szCs w:val="24"/>
        </w:rPr>
        <w:t>Bruna Vieira de Freitas</w:t>
      </w:r>
    </w:p>
    <w:p w:rsidR="002C378E" w:rsidRPr="009C7C29" w:rsidRDefault="002C378E" w:rsidP="009C7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C29">
        <w:rPr>
          <w:rFonts w:ascii="Times New Roman" w:hAnsi="Times New Roman" w:cs="Times New Roman"/>
          <w:sz w:val="24"/>
          <w:szCs w:val="24"/>
        </w:rPr>
        <w:t xml:space="preserve">Licenciada e Bacharelada em </w:t>
      </w:r>
      <w:r w:rsidR="009C7C29" w:rsidRPr="009C7C29">
        <w:rPr>
          <w:rFonts w:ascii="Times New Roman" w:hAnsi="Times New Roman" w:cs="Times New Roman"/>
          <w:sz w:val="24"/>
          <w:szCs w:val="24"/>
        </w:rPr>
        <w:t>Ciências</w:t>
      </w:r>
      <w:r w:rsidRPr="009C7C29">
        <w:rPr>
          <w:rFonts w:ascii="Times New Roman" w:hAnsi="Times New Roman" w:cs="Times New Roman"/>
          <w:sz w:val="24"/>
          <w:szCs w:val="24"/>
        </w:rPr>
        <w:t xml:space="preserve"> Agrárias, Universi</w:t>
      </w:r>
      <w:r w:rsidR="009C7C29" w:rsidRPr="009C7C29">
        <w:rPr>
          <w:rFonts w:ascii="Times New Roman" w:hAnsi="Times New Roman" w:cs="Times New Roman"/>
          <w:sz w:val="24"/>
          <w:szCs w:val="24"/>
        </w:rPr>
        <w:t>dade Estadual da Paraíba (UEPB)</w:t>
      </w:r>
      <w:r w:rsidRPr="009C7C29">
        <w:rPr>
          <w:rFonts w:ascii="Times New Roman" w:hAnsi="Times New Roman" w:cs="Times New Roman"/>
          <w:sz w:val="24"/>
          <w:szCs w:val="24"/>
        </w:rPr>
        <w:t>, Catolé do Rocha-PB</w:t>
      </w:r>
    </w:p>
    <w:p w:rsidR="00DF34C0" w:rsidRPr="009C7C29" w:rsidRDefault="00DF34C0" w:rsidP="009C7C2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F3200" w:rsidRPr="009C7C29" w:rsidRDefault="00CF3200" w:rsidP="009C7C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9C7C29">
        <w:rPr>
          <w:rFonts w:ascii="Times New Roman" w:hAnsi="Times New Roman" w:cs="Times New Roman"/>
          <w:i/>
          <w:iCs/>
          <w:sz w:val="24"/>
          <w:szCs w:val="24"/>
        </w:rPr>
        <w:t>Diva Lima</w:t>
      </w:r>
      <w:proofErr w:type="gramEnd"/>
      <w:r w:rsidRPr="009C7C29">
        <w:rPr>
          <w:rFonts w:ascii="Times New Roman" w:hAnsi="Times New Roman" w:cs="Times New Roman"/>
          <w:i/>
          <w:iCs/>
          <w:sz w:val="24"/>
          <w:szCs w:val="24"/>
        </w:rPr>
        <w:t xml:space="preserve"> de Araujo</w:t>
      </w:r>
    </w:p>
    <w:p w:rsidR="00CF3200" w:rsidRPr="009C7C29" w:rsidRDefault="00846F99" w:rsidP="009C7C2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C7C29">
        <w:rPr>
          <w:rFonts w:ascii="Times New Roman" w:hAnsi="Times New Roman" w:cs="Times New Roman"/>
          <w:sz w:val="24"/>
          <w:szCs w:val="24"/>
        </w:rPr>
        <w:t>Lic</w:t>
      </w:r>
      <w:proofErr w:type="spellEnd"/>
      <w:r w:rsidRPr="009C7C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C7C29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9C7C29">
        <w:rPr>
          <w:rFonts w:ascii="Times New Roman" w:hAnsi="Times New Roman" w:cs="Times New Roman"/>
          <w:sz w:val="24"/>
          <w:szCs w:val="24"/>
        </w:rPr>
        <w:t xml:space="preserve"> </w:t>
      </w:r>
      <w:r w:rsidR="009C7C29" w:rsidRPr="009C7C29">
        <w:rPr>
          <w:rFonts w:ascii="Times New Roman" w:hAnsi="Times New Roman" w:cs="Times New Roman"/>
          <w:sz w:val="24"/>
          <w:szCs w:val="24"/>
        </w:rPr>
        <w:t>Ciências</w:t>
      </w:r>
      <w:r w:rsidRPr="009C7C29">
        <w:rPr>
          <w:rFonts w:ascii="Times New Roman" w:hAnsi="Times New Roman" w:cs="Times New Roman"/>
          <w:sz w:val="24"/>
          <w:szCs w:val="24"/>
        </w:rPr>
        <w:t xml:space="preserve"> Agrárias, </w:t>
      </w:r>
      <w:proofErr w:type="spellStart"/>
      <w:r w:rsidRPr="009C7C29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9C7C29">
        <w:rPr>
          <w:rFonts w:ascii="Times New Roman" w:hAnsi="Times New Roman" w:cs="Times New Roman"/>
          <w:sz w:val="24"/>
          <w:szCs w:val="24"/>
        </w:rPr>
        <w:t>., Doutoranda da Universidade Federal de Campina Grande (UFCG), Campina Grande-PB</w:t>
      </w:r>
    </w:p>
    <w:p w:rsidR="00CF3200" w:rsidRPr="009C7C29" w:rsidRDefault="00CF3200" w:rsidP="009C7C2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7C29">
        <w:rPr>
          <w:rFonts w:ascii="Times New Roman" w:hAnsi="Times New Roman" w:cs="Times New Roman"/>
          <w:iCs/>
          <w:sz w:val="24"/>
          <w:szCs w:val="24"/>
        </w:rPr>
        <w:t xml:space="preserve">Email: </w:t>
      </w:r>
      <w:hyperlink r:id="rId7" w:history="1">
        <w:r w:rsidRPr="009C7C29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dyvaaraujo@gmail.com</w:t>
        </w:r>
      </w:hyperlink>
      <w:r w:rsidRPr="009C7C2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F3200" w:rsidRPr="009C7C29" w:rsidRDefault="00CF3200" w:rsidP="009C7C2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1404A2" w:rsidRPr="009C7C29" w:rsidRDefault="001404A2" w:rsidP="00AC24A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345BC5" w:rsidRPr="00AC24AD" w:rsidRDefault="00345BC5" w:rsidP="009C7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4A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F3200" w:rsidRPr="00AC24AD">
        <w:rPr>
          <w:rFonts w:ascii="Times New Roman" w:hAnsi="Times New Roman" w:cs="Times New Roman"/>
          <w:b/>
          <w:bCs/>
          <w:sz w:val="24"/>
          <w:szCs w:val="24"/>
        </w:rPr>
        <w:t>ESUMO</w:t>
      </w:r>
      <w:r w:rsidRPr="00AC24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C24AD">
        <w:rPr>
          <w:rFonts w:ascii="Times New Roman" w:hAnsi="Times New Roman" w:cs="Times New Roman"/>
          <w:sz w:val="24"/>
          <w:szCs w:val="24"/>
        </w:rPr>
        <w:t xml:space="preserve">Pertencente à família </w:t>
      </w:r>
      <w:proofErr w:type="spellStart"/>
      <w:r w:rsidRPr="00AC24AD">
        <w:rPr>
          <w:rFonts w:ascii="Times New Roman" w:hAnsi="Times New Roman" w:cs="Times New Roman"/>
          <w:sz w:val="24"/>
          <w:szCs w:val="24"/>
        </w:rPr>
        <w:t>Anarcadiaceae</w:t>
      </w:r>
      <w:proofErr w:type="spellEnd"/>
      <w:r w:rsidRPr="00AC24A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C24AD">
        <w:rPr>
          <w:rFonts w:ascii="Times New Roman" w:hAnsi="Times New Roman" w:cs="Times New Roman"/>
          <w:sz w:val="24"/>
          <w:szCs w:val="24"/>
        </w:rPr>
        <w:t>cajaraneira</w:t>
      </w:r>
      <w:proofErr w:type="spellEnd"/>
      <w:r w:rsidRPr="00AC24AD">
        <w:rPr>
          <w:rFonts w:ascii="Times New Roman" w:hAnsi="Times New Roman" w:cs="Times New Roman"/>
          <w:sz w:val="24"/>
          <w:szCs w:val="24"/>
        </w:rPr>
        <w:t xml:space="preserve"> é típica da região Nordeste do Brasil. </w:t>
      </w:r>
      <w:proofErr w:type="gramStart"/>
      <w:r w:rsidRPr="00AC24AD">
        <w:rPr>
          <w:rFonts w:ascii="Times New Roman" w:hAnsi="Times New Roman" w:cs="Times New Roman"/>
          <w:sz w:val="24"/>
          <w:szCs w:val="24"/>
        </w:rPr>
        <w:t xml:space="preserve">Sua boa aparência </w:t>
      </w:r>
      <w:r w:rsidR="006909F2" w:rsidRPr="00AC24AD">
        <w:rPr>
          <w:rFonts w:ascii="Times New Roman" w:hAnsi="Times New Roman" w:cs="Times New Roman"/>
          <w:sz w:val="24"/>
          <w:szCs w:val="24"/>
        </w:rPr>
        <w:t xml:space="preserve">e a peculiaridade do sabor da </w:t>
      </w:r>
      <w:proofErr w:type="spellStart"/>
      <w:r w:rsidR="006909F2" w:rsidRPr="00AC24AD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="006909F2" w:rsidRPr="00AC24AD">
        <w:rPr>
          <w:rFonts w:ascii="Times New Roman" w:hAnsi="Times New Roman" w:cs="Times New Roman"/>
          <w:sz w:val="24"/>
          <w:szCs w:val="24"/>
        </w:rPr>
        <w:t xml:space="preserve"> </w:t>
      </w:r>
      <w:r w:rsidRPr="00AC24AD">
        <w:rPr>
          <w:rFonts w:ascii="Times New Roman" w:hAnsi="Times New Roman" w:cs="Times New Roman"/>
          <w:sz w:val="24"/>
          <w:szCs w:val="24"/>
        </w:rPr>
        <w:t>faz</w:t>
      </w:r>
      <w:proofErr w:type="gramEnd"/>
      <w:r w:rsidRPr="00AC24AD">
        <w:rPr>
          <w:rFonts w:ascii="Times New Roman" w:hAnsi="Times New Roman" w:cs="Times New Roman"/>
          <w:sz w:val="24"/>
          <w:szCs w:val="24"/>
        </w:rPr>
        <w:t xml:space="preserve"> com que ela seja procurada e aproveitada nas indústrias de alimentos, na fabricação</w:t>
      </w:r>
      <w:r w:rsidR="00C7586F" w:rsidRPr="00C7586F">
        <w:rPr>
          <w:rFonts w:ascii="Times New Roman" w:hAnsi="Times New Roman" w:cs="Times New Roman"/>
          <w:sz w:val="24"/>
          <w:szCs w:val="24"/>
        </w:rPr>
        <w:t xml:space="preserve"> </w:t>
      </w:r>
      <w:r w:rsidR="00C7586F" w:rsidRPr="00AC24AD">
        <w:rPr>
          <w:rFonts w:ascii="Times New Roman" w:hAnsi="Times New Roman" w:cs="Times New Roman"/>
          <w:sz w:val="24"/>
          <w:szCs w:val="24"/>
        </w:rPr>
        <w:t>de sorvetes, picolés, sucos, iogurtes, polpas e doces.</w:t>
      </w:r>
      <w:r w:rsidRPr="00AC24AD">
        <w:rPr>
          <w:rFonts w:ascii="Times New Roman" w:hAnsi="Times New Roman" w:cs="Times New Roman"/>
          <w:sz w:val="24"/>
          <w:szCs w:val="24"/>
        </w:rPr>
        <w:t xml:space="preserve"> </w:t>
      </w:r>
      <w:r w:rsidR="00201E53" w:rsidRPr="00AC24AD">
        <w:rPr>
          <w:rFonts w:ascii="Times New Roman" w:hAnsi="Times New Roman" w:cs="Times New Roman"/>
          <w:sz w:val="24"/>
          <w:szCs w:val="24"/>
        </w:rPr>
        <w:t>Devido à larga escala de consumo de frutas consideradas exóticas, pesquisas têm sido realizadas no intuito de caracterizar física e quimicamente esses frutos em vários lugares do Nordeste Devido à larga escala de consumo de frutas consideradas exóticas, o</w:t>
      </w:r>
      <w:r w:rsidRPr="00AC24AD">
        <w:rPr>
          <w:rFonts w:ascii="Times New Roman" w:hAnsi="Times New Roman" w:cs="Times New Roman"/>
          <w:sz w:val="24"/>
          <w:szCs w:val="24"/>
        </w:rPr>
        <w:t xml:space="preserve">bjetivou-se com esse trabalho, caracterizar fisicamente os frutos da </w:t>
      </w:r>
      <w:proofErr w:type="spellStart"/>
      <w:r w:rsidRPr="00AC24AD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Pr="00AC24AD">
        <w:rPr>
          <w:rFonts w:ascii="Times New Roman" w:hAnsi="Times New Roman" w:cs="Times New Roman"/>
          <w:sz w:val="24"/>
          <w:szCs w:val="24"/>
        </w:rPr>
        <w:t xml:space="preserve"> e da </w:t>
      </w:r>
      <w:proofErr w:type="spellStart"/>
      <w:r w:rsidRPr="00AC24AD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Pr="00AC24AD">
        <w:rPr>
          <w:rFonts w:ascii="Times New Roman" w:hAnsi="Times New Roman" w:cs="Times New Roman"/>
          <w:sz w:val="24"/>
          <w:szCs w:val="24"/>
        </w:rPr>
        <w:t xml:space="preserve"> - umbu e a análise química que especifica o teor de SST (sólidos solúveis totais) expressa em </w:t>
      </w:r>
      <w:proofErr w:type="spellStart"/>
      <w:proofErr w:type="gramStart"/>
      <w:r w:rsidRPr="00AC24A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AC24AD">
        <w:rPr>
          <w:rFonts w:ascii="Times New Roman" w:hAnsi="Times New Roman" w:cs="Times New Roman"/>
          <w:sz w:val="24"/>
          <w:szCs w:val="24"/>
        </w:rPr>
        <w:t>Bix</w:t>
      </w:r>
      <w:proofErr w:type="spellEnd"/>
      <w:proofErr w:type="gramEnd"/>
      <w:r w:rsidR="00AE020D">
        <w:rPr>
          <w:rFonts w:ascii="Times New Roman" w:hAnsi="Times New Roman" w:cs="Times New Roman"/>
          <w:sz w:val="24"/>
          <w:szCs w:val="24"/>
        </w:rPr>
        <w:t>, dentro de quatro estádio de maturação do fruto</w:t>
      </w:r>
      <w:r w:rsidRPr="00AC24AD">
        <w:rPr>
          <w:rFonts w:ascii="Times New Roman" w:hAnsi="Times New Roman" w:cs="Times New Roman"/>
          <w:sz w:val="24"/>
          <w:szCs w:val="24"/>
        </w:rPr>
        <w:t>.</w:t>
      </w:r>
    </w:p>
    <w:p w:rsidR="006909F2" w:rsidRPr="00AC24AD" w:rsidRDefault="006909F2" w:rsidP="009C7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C5" w:rsidRPr="00AC24AD" w:rsidRDefault="00345BC5" w:rsidP="009C7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4AD">
        <w:rPr>
          <w:rFonts w:ascii="Times New Roman" w:hAnsi="Times New Roman" w:cs="Times New Roman"/>
          <w:b/>
          <w:bCs/>
          <w:sz w:val="24"/>
          <w:szCs w:val="24"/>
        </w:rPr>
        <w:t>Palavras -Chave</w:t>
      </w:r>
      <w:proofErr w:type="gramEnd"/>
      <w:r w:rsidRPr="00AC24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708E5" w:rsidRPr="006708E5">
        <w:rPr>
          <w:rFonts w:ascii="Times New Roman" w:hAnsi="Times New Roman" w:cs="Times New Roman"/>
          <w:bCs/>
          <w:sz w:val="24"/>
          <w:szCs w:val="24"/>
        </w:rPr>
        <w:t>cajarana</w:t>
      </w:r>
      <w:proofErr w:type="spellEnd"/>
      <w:r w:rsidRPr="00AC24AD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AC24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8E5">
        <w:rPr>
          <w:rFonts w:ascii="Times New Roman" w:hAnsi="Times New Roman" w:cs="Times New Roman"/>
          <w:sz w:val="24"/>
          <w:szCs w:val="24"/>
        </w:rPr>
        <w:t>estád</w:t>
      </w:r>
      <w:r w:rsidRPr="00AC24AD">
        <w:rPr>
          <w:rFonts w:ascii="Times New Roman" w:hAnsi="Times New Roman" w:cs="Times New Roman"/>
          <w:sz w:val="24"/>
          <w:szCs w:val="24"/>
        </w:rPr>
        <w:t>ios de maturação,</w:t>
      </w:r>
      <w:r w:rsidR="00AE020D">
        <w:rPr>
          <w:rFonts w:ascii="Times New Roman" w:hAnsi="Times New Roman" w:cs="Times New Roman"/>
          <w:sz w:val="24"/>
          <w:szCs w:val="24"/>
        </w:rPr>
        <w:t xml:space="preserve">sólidos </w:t>
      </w:r>
      <w:r w:rsidR="006708E5">
        <w:rPr>
          <w:rFonts w:ascii="Times New Roman" w:hAnsi="Times New Roman" w:cs="Times New Roman"/>
          <w:sz w:val="24"/>
          <w:szCs w:val="24"/>
        </w:rPr>
        <w:t>solúveis</w:t>
      </w:r>
      <w:r w:rsidR="00AE020D">
        <w:rPr>
          <w:rFonts w:ascii="Times New Roman" w:hAnsi="Times New Roman" w:cs="Times New Roman"/>
          <w:sz w:val="24"/>
          <w:szCs w:val="24"/>
        </w:rPr>
        <w:t xml:space="preserve"> totais</w:t>
      </w:r>
      <w:r w:rsidRPr="00AC24AD">
        <w:rPr>
          <w:rFonts w:ascii="Times New Roman" w:hAnsi="Times New Roman" w:cs="Times New Roman"/>
          <w:sz w:val="24"/>
          <w:szCs w:val="24"/>
        </w:rPr>
        <w:t>.</w:t>
      </w:r>
    </w:p>
    <w:p w:rsidR="005E4D64" w:rsidRDefault="005E4D64" w:rsidP="009C7C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4D64" w:rsidRDefault="005E4D64" w:rsidP="009C7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24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PHISYCAL CHARACTERISATION AND </w:t>
      </w:r>
      <w:proofErr w:type="spellStart"/>
      <w:r w:rsidRPr="00AC24A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o</w:t>
      </w:r>
      <w:r w:rsidRPr="00AC24AD">
        <w:rPr>
          <w:rFonts w:ascii="Times New Roman" w:hAnsi="Times New Roman" w:cs="Times New Roman"/>
          <w:b/>
          <w:bCs/>
          <w:sz w:val="24"/>
          <w:szCs w:val="24"/>
          <w:lang w:val="en-US"/>
        </w:rPr>
        <w:t>BRIX</w:t>
      </w:r>
      <w:proofErr w:type="spellEnd"/>
      <w:r w:rsidRPr="00AC24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r w:rsidRPr="00AC24A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SPONDIAS</w:t>
      </w:r>
      <w:r w:rsidRPr="00AC24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DIFFERENT STAGES OF MATURATION</w:t>
      </w:r>
    </w:p>
    <w:p w:rsidR="004627D2" w:rsidRPr="00AC24AD" w:rsidRDefault="004627D2" w:rsidP="009C7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C0ACD" w:rsidRPr="00AC24AD" w:rsidRDefault="00345BC5" w:rsidP="009C7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AC24A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</w:t>
      </w:r>
      <w:r w:rsidR="00CF3200" w:rsidRPr="00AC24A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BSTRACT</w:t>
      </w:r>
      <w:r w:rsidRPr="00AC24A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:</w:t>
      </w:r>
      <w:r w:rsidRPr="00AC24A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 the family </w:t>
      </w:r>
      <w:proofErr w:type="spellStart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>Anarcadiaceae</w:t>
      </w:r>
      <w:proofErr w:type="spellEnd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the </w:t>
      </w:r>
      <w:proofErr w:type="spellStart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>cajaraneira</w:t>
      </w:r>
      <w:proofErr w:type="spellEnd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is typical of the northeastern region of Brazil. His good looks and the peculiarity of the flavor of </w:t>
      </w:r>
      <w:proofErr w:type="spellStart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>cajarana</w:t>
      </w:r>
      <w:proofErr w:type="spellEnd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causes her to be sought and used in the food industries, in the manufacture of ice cream, yogurt, popsicles, juice, puree and sweet. </w:t>
      </w:r>
      <w:r w:rsidR="00201E53" w:rsidRPr="00AC24A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Due to the large scale of consumption of fruits that are considered exotic, </w:t>
      </w:r>
      <w:proofErr w:type="spellStart"/>
      <w:r w:rsidR="00201E53" w:rsidRPr="00AC24AD">
        <w:rPr>
          <w:rFonts w:ascii="Times New Roman" w:hAnsi="Times New Roman" w:cs="Times New Roman"/>
          <w:iCs/>
          <w:sz w:val="24"/>
          <w:szCs w:val="24"/>
          <w:lang w:val="en-US"/>
        </w:rPr>
        <w:t>p</w:t>
      </w:r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>orpose</w:t>
      </w:r>
      <w:proofErr w:type="spellEnd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with this work, physically </w:t>
      </w:r>
      <w:proofErr w:type="spellStart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>characterise</w:t>
      </w:r>
      <w:proofErr w:type="spellEnd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 fruits of </w:t>
      </w:r>
      <w:proofErr w:type="spellStart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>cajarana</w:t>
      </w:r>
      <w:proofErr w:type="spellEnd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</w:t>
      </w:r>
      <w:proofErr w:type="spellStart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>cajarana-Spondias</w:t>
      </w:r>
      <w:proofErr w:type="spellEnd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>tuberosa</w:t>
      </w:r>
      <w:proofErr w:type="spellEnd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chemical analysis that specifies the content of OSH (total soluble solids) expressed as </w:t>
      </w:r>
      <w:proofErr w:type="spellStart"/>
      <w:r w:rsidR="00EC0ACD" w:rsidRPr="00AC24AD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o</w:t>
      </w:r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>Bix</w:t>
      </w:r>
      <w:proofErr w:type="spellEnd"/>
      <w:r w:rsidR="00EC0ACD" w:rsidRPr="00AC24AD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5E4D64" w:rsidRPr="00AC24AD" w:rsidRDefault="005E4D64" w:rsidP="009C7C2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345BC5" w:rsidRPr="00AC24AD" w:rsidRDefault="009F393B" w:rsidP="009C7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4A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Keyw</w:t>
      </w:r>
      <w:r w:rsidR="00345BC5" w:rsidRPr="00AC24A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ords:</w:t>
      </w:r>
      <w:r w:rsidR="00AE020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E020D" w:rsidRPr="00AE020D">
        <w:rPr>
          <w:rFonts w:ascii="Times New Roman" w:hAnsi="Times New Roman" w:cs="Times New Roman"/>
          <w:iCs/>
          <w:sz w:val="24"/>
          <w:szCs w:val="24"/>
          <w:lang w:val="en-US"/>
        </w:rPr>
        <w:t>cajarana</w:t>
      </w:r>
      <w:proofErr w:type="spellEnd"/>
      <w:r w:rsidR="00345BC5" w:rsidRPr="00AE020D">
        <w:rPr>
          <w:rFonts w:ascii="Times New Roman" w:hAnsi="Times New Roman" w:cs="Times New Roman"/>
          <w:iCs/>
          <w:sz w:val="24"/>
          <w:szCs w:val="24"/>
          <w:lang w:val="en-US"/>
        </w:rPr>
        <w:t>, stages</w:t>
      </w:r>
      <w:r w:rsidR="00345BC5" w:rsidRPr="00AC24A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of maturation, </w:t>
      </w:r>
      <w:r w:rsidR="00AE020D" w:rsidRPr="00AE020D">
        <w:rPr>
          <w:rFonts w:ascii="Times New Roman" w:hAnsi="Times New Roman" w:cs="Times New Roman"/>
          <w:iCs/>
          <w:sz w:val="24"/>
          <w:szCs w:val="24"/>
          <w:lang w:val="en-US"/>
        </w:rPr>
        <w:t>total soluble solids</w:t>
      </w:r>
      <w:r w:rsidR="00AE020D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084D10" w:rsidRDefault="00084D10" w:rsidP="00B223B8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AC24AD" w:rsidRDefault="00AC24AD" w:rsidP="00B223B8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AC24AD" w:rsidRPr="00AC24AD" w:rsidRDefault="00AC24AD" w:rsidP="00B223B8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  <w:sectPr w:rsidR="00AC24AD" w:rsidRPr="00AC24AD" w:rsidSect="003375EB">
          <w:type w:val="continuous"/>
          <w:pgSz w:w="11906" w:h="16838"/>
          <w:pgMar w:top="1701" w:right="1134" w:bottom="1560" w:left="1134" w:header="709" w:footer="709" w:gutter="0"/>
          <w:cols w:space="708"/>
          <w:docGrid w:linePitch="360"/>
        </w:sectPr>
      </w:pPr>
    </w:p>
    <w:p w:rsidR="005E4D64" w:rsidRDefault="005E4D64" w:rsidP="005E4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D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INTRODUÇÃO </w:t>
      </w:r>
    </w:p>
    <w:p w:rsidR="00AC24AD" w:rsidRDefault="00AC24AD" w:rsidP="005E4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B01" w:rsidRPr="00150A88" w:rsidRDefault="00115023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cajaraneira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, pertencente à família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Anarcadiaceae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, é típica da região Nordeste do Brasil, tendo uma grande importância </w:t>
      </w:r>
      <w:r w:rsidRPr="00956D3F">
        <w:rPr>
          <w:rFonts w:ascii="Times New Roman" w:hAnsi="Times New Roman" w:cs="Times New Roman"/>
          <w:sz w:val="24"/>
          <w:szCs w:val="24"/>
        </w:rPr>
        <w:t xml:space="preserve">econômica na produção industrial de sucos e polpas. (LIRA </w:t>
      </w:r>
      <w:proofErr w:type="spellStart"/>
      <w:proofErr w:type="gramStart"/>
      <w:r w:rsidRPr="00956D3F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956D3F">
        <w:rPr>
          <w:rFonts w:ascii="Times New Roman" w:hAnsi="Times New Roman" w:cs="Times New Roman"/>
          <w:sz w:val="24"/>
          <w:szCs w:val="24"/>
        </w:rPr>
        <w:t xml:space="preserve"> al., 2005). Espécie que sofre diversos tipos de exploração</w:t>
      </w:r>
      <w:r w:rsidRPr="003375EB">
        <w:rPr>
          <w:rFonts w:ascii="Times New Roman" w:hAnsi="Times New Roman" w:cs="Times New Roman"/>
          <w:sz w:val="24"/>
          <w:szCs w:val="24"/>
        </w:rPr>
        <w:t xml:space="preserve">, os quais se destacam o extrativismo, sendo a forma mais utilizada para a obtenção do fruto, especialmente nas regiões do Nordeste. </w:t>
      </w:r>
      <w:r w:rsidR="00EF6018" w:rsidRPr="003375EB">
        <w:rPr>
          <w:rFonts w:ascii="Times New Roman" w:hAnsi="Times New Roman" w:cs="Times New Roman"/>
          <w:sz w:val="24"/>
          <w:szCs w:val="24"/>
        </w:rPr>
        <w:t>Os frutos são comercializados em feiras</w:t>
      </w:r>
      <w:r w:rsidR="00844DF7" w:rsidRPr="003375EB">
        <w:rPr>
          <w:rFonts w:ascii="Times New Roman" w:hAnsi="Times New Roman" w:cs="Times New Roman"/>
          <w:sz w:val="24"/>
          <w:szCs w:val="24"/>
        </w:rPr>
        <w:t xml:space="preserve"> livres</w:t>
      </w:r>
      <w:r w:rsidR="00EF6018" w:rsidRPr="003375EB">
        <w:rPr>
          <w:rFonts w:ascii="Times New Roman" w:hAnsi="Times New Roman" w:cs="Times New Roman"/>
          <w:sz w:val="24"/>
          <w:szCs w:val="24"/>
        </w:rPr>
        <w:t>, considerados exóticos, devido seu aroma</w:t>
      </w:r>
      <w:r w:rsidR="00844DF7" w:rsidRPr="003375EB">
        <w:rPr>
          <w:rFonts w:ascii="Times New Roman" w:hAnsi="Times New Roman" w:cs="Times New Roman"/>
          <w:sz w:val="24"/>
          <w:szCs w:val="24"/>
        </w:rPr>
        <w:t>,</w:t>
      </w:r>
      <w:r w:rsidR="00EF6018" w:rsidRPr="003375EB">
        <w:rPr>
          <w:rFonts w:ascii="Times New Roman" w:hAnsi="Times New Roman" w:cs="Times New Roman"/>
          <w:sz w:val="24"/>
          <w:szCs w:val="24"/>
        </w:rPr>
        <w:t xml:space="preserve"> sabor diferenciado e cor, </w:t>
      </w:r>
      <w:r w:rsidR="00844DF7" w:rsidRPr="003375EB">
        <w:rPr>
          <w:rFonts w:ascii="Times New Roman" w:hAnsi="Times New Roman" w:cs="Times New Roman"/>
          <w:sz w:val="24"/>
          <w:szCs w:val="24"/>
        </w:rPr>
        <w:t xml:space="preserve">havendo consumo </w:t>
      </w:r>
      <w:r w:rsidR="00844DF7" w:rsidRPr="003375EB">
        <w:rPr>
          <w:rFonts w:ascii="Times New Roman" w:hAnsi="Times New Roman" w:cs="Times New Roman"/>
          <w:i/>
          <w:sz w:val="24"/>
          <w:szCs w:val="24"/>
        </w:rPr>
        <w:t>in natura</w:t>
      </w:r>
      <w:r w:rsidR="00844DF7" w:rsidRPr="003375EB">
        <w:rPr>
          <w:rFonts w:ascii="Times New Roman" w:hAnsi="Times New Roman" w:cs="Times New Roman"/>
          <w:sz w:val="24"/>
          <w:szCs w:val="24"/>
        </w:rPr>
        <w:t xml:space="preserve"> em todas as regiões do Brasil.</w:t>
      </w:r>
    </w:p>
    <w:p w:rsidR="00FD0B01" w:rsidRPr="00956D3F" w:rsidRDefault="00844DF7" w:rsidP="00361F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5EB">
        <w:rPr>
          <w:rFonts w:ascii="Times New Roman" w:hAnsi="Times New Roman" w:cs="Times New Roman"/>
          <w:sz w:val="24"/>
          <w:szCs w:val="24"/>
        </w:rPr>
        <w:t xml:space="preserve">A peculiaridade do sabor da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</w:t>
      </w:r>
      <w:r w:rsidR="00345BC5" w:rsidRPr="003375EB">
        <w:rPr>
          <w:rFonts w:ascii="Times New Roman" w:hAnsi="Times New Roman" w:cs="Times New Roman"/>
          <w:sz w:val="24"/>
          <w:szCs w:val="24"/>
        </w:rPr>
        <w:t>ajarana</w:t>
      </w:r>
      <w:proofErr w:type="spellEnd"/>
      <w:r w:rsidR="00345BC5" w:rsidRPr="003375EB">
        <w:rPr>
          <w:rFonts w:ascii="Times New Roman" w:hAnsi="Times New Roman" w:cs="Times New Roman"/>
          <w:sz w:val="24"/>
          <w:szCs w:val="24"/>
        </w:rPr>
        <w:t>, e sua boa aparência, fa</w:t>
      </w:r>
      <w:r w:rsidRPr="003375EB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3375EB">
        <w:rPr>
          <w:rFonts w:ascii="Times New Roman" w:hAnsi="Times New Roman" w:cs="Times New Roman"/>
          <w:sz w:val="24"/>
          <w:szCs w:val="24"/>
        </w:rPr>
        <w:t xml:space="preserve"> com que ela </w:t>
      </w:r>
      <w:r w:rsidR="00345BC5" w:rsidRPr="003375EB">
        <w:rPr>
          <w:rFonts w:ascii="Times New Roman" w:hAnsi="Times New Roman" w:cs="Times New Roman"/>
          <w:sz w:val="24"/>
          <w:szCs w:val="24"/>
        </w:rPr>
        <w:t>seja</w:t>
      </w:r>
      <w:r w:rsidRPr="003375EB">
        <w:rPr>
          <w:rFonts w:ascii="Times New Roman" w:hAnsi="Times New Roman" w:cs="Times New Roman"/>
          <w:sz w:val="24"/>
          <w:szCs w:val="24"/>
        </w:rPr>
        <w:t xml:space="preserve"> procurada </w:t>
      </w:r>
      <w:r w:rsidRPr="00956D3F">
        <w:rPr>
          <w:rFonts w:ascii="Times New Roman" w:hAnsi="Times New Roman" w:cs="Times New Roman"/>
          <w:sz w:val="24"/>
          <w:szCs w:val="24"/>
        </w:rPr>
        <w:t xml:space="preserve">e aproveitada nas indústrias de alimentos, na fabricação de sorvetes, picolés, sucos, iogurtes, polpas e doces. O sabor característico deve-se ao elevado teor de glicídios e </w:t>
      </w:r>
      <w:proofErr w:type="spellStart"/>
      <w:r w:rsidRPr="00956D3F">
        <w:rPr>
          <w:rFonts w:ascii="Times New Roman" w:hAnsi="Times New Roman" w:cs="Times New Roman"/>
          <w:sz w:val="24"/>
          <w:szCs w:val="24"/>
        </w:rPr>
        <w:t>votamina</w:t>
      </w:r>
      <w:proofErr w:type="spellEnd"/>
      <w:r w:rsidRPr="00956D3F">
        <w:rPr>
          <w:rFonts w:ascii="Times New Roman" w:hAnsi="Times New Roman" w:cs="Times New Roman"/>
          <w:sz w:val="24"/>
          <w:szCs w:val="24"/>
        </w:rPr>
        <w:t xml:space="preserve"> C4. (LIRA </w:t>
      </w:r>
      <w:proofErr w:type="spellStart"/>
      <w:proofErr w:type="gramStart"/>
      <w:r w:rsidRPr="00956D3F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956D3F">
        <w:rPr>
          <w:rFonts w:ascii="Times New Roman" w:hAnsi="Times New Roman" w:cs="Times New Roman"/>
          <w:sz w:val="24"/>
          <w:szCs w:val="24"/>
        </w:rPr>
        <w:t xml:space="preserve"> al., 2005; GIACOMETTI, 1993; </w:t>
      </w:r>
      <w:r w:rsidR="009E7113" w:rsidRPr="00956D3F">
        <w:rPr>
          <w:rFonts w:ascii="Times New Roman" w:hAnsi="Times New Roman" w:cs="Times New Roman"/>
          <w:sz w:val="24"/>
          <w:szCs w:val="24"/>
        </w:rPr>
        <w:t xml:space="preserve">RODRIGUES </w:t>
      </w:r>
      <w:proofErr w:type="spellStart"/>
      <w:r w:rsidR="009E7113" w:rsidRPr="00956D3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9E7113" w:rsidRPr="00956D3F">
        <w:rPr>
          <w:rFonts w:ascii="Times New Roman" w:hAnsi="Times New Roman" w:cs="Times New Roman"/>
          <w:sz w:val="24"/>
          <w:szCs w:val="24"/>
        </w:rPr>
        <w:t xml:space="preserve"> al., 2010</w:t>
      </w:r>
      <w:r w:rsidRPr="00956D3F">
        <w:rPr>
          <w:rFonts w:ascii="Times New Roman" w:hAnsi="Times New Roman" w:cs="Times New Roman"/>
          <w:sz w:val="24"/>
          <w:szCs w:val="24"/>
        </w:rPr>
        <w:t>)</w:t>
      </w:r>
    </w:p>
    <w:p w:rsidR="009E7113" w:rsidRPr="003375EB" w:rsidRDefault="009E7113" w:rsidP="00361F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D3F">
        <w:rPr>
          <w:rFonts w:ascii="Times New Roman" w:hAnsi="Times New Roman" w:cs="Times New Roman"/>
          <w:sz w:val="24"/>
          <w:szCs w:val="24"/>
        </w:rPr>
        <w:t>Devido à larga escala</w:t>
      </w:r>
      <w:r w:rsidRPr="003375EB">
        <w:rPr>
          <w:rFonts w:ascii="Times New Roman" w:hAnsi="Times New Roman" w:cs="Times New Roman"/>
          <w:sz w:val="24"/>
          <w:szCs w:val="24"/>
        </w:rPr>
        <w:t xml:space="preserve"> de consumo de frutas consideradas exóticas, </w:t>
      </w:r>
      <w:r w:rsidR="00D93F4D" w:rsidRPr="003375EB">
        <w:rPr>
          <w:rFonts w:ascii="Times New Roman" w:hAnsi="Times New Roman" w:cs="Times New Roman"/>
          <w:sz w:val="24"/>
          <w:szCs w:val="24"/>
        </w:rPr>
        <w:t xml:space="preserve">pesquisas </w:t>
      </w:r>
      <w:r w:rsidRPr="003375EB">
        <w:rPr>
          <w:rFonts w:ascii="Times New Roman" w:hAnsi="Times New Roman" w:cs="Times New Roman"/>
          <w:sz w:val="24"/>
          <w:szCs w:val="24"/>
        </w:rPr>
        <w:t>têm sido</w:t>
      </w:r>
      <w:r w:rsidR="00D93F4D" w:rsidRPr="003375EB">
        <w:rPr>
          <w:rFonts w:ascii="Times New Roman" w:hAnsi="Times New Roman" w:cs="Times New Roman"/>
          <w:sz w:val="24"/>
          <w:szCs w:val="24"/>
        </w:rPr>
        <w:t xml:space="preserve"> realizada</w:t>
      </w:r>
      <w:r w:rsidRPr="003375EB">
        <w:rPr>
          <w:rFonts w:ascii="Times New Roman" w:hAnsi="Times New Roman" w:cs="Times New Roman"/>
          <w:sz w:val="24"/>
          <w:szCs w:val="24"/>
        </w:rPr>
        <w:t xml:space="preserve">s no intuito de caracterizar física e quimicamente esses frutos em vários lugares do Nordeste. </w:t>
      </w:r>
      <w:r w:rsidR="00D93F4D" w:rsidRPr="003375EB">
        <w:rPr>
          <w:rFonts w:ascii="Times New Roman" w:hAnsi="Times New Roman" w:cs="Times New Roman"/>
          <w:sz w:val="24"/>
          <w:szCs w:val="24"/>
        </w:rPr>
        <w:t xml:space="preserve">Objetivou-se com esse trabalho, caracterizar fisicamente os frutos da cajarana e da cajarana - umbu, como: peso do fruto, diâmetro longitudinal e transversal, percentagem de epicarpo, endocarpo e </w:t>
      </w:r>
      <w:r w:rsidR="00D93F4D" w:rsidRPr="003375EB">
        <w:rPr>
          <w:rFonts w:ascii="Times New Roman" w:hAnsi="Times New Roman" w:cs="Times New Roman"/>
          <w:sz w:val="24"/>
          <w:szCs w:val="24"/>
        </w:rPr>
        <w:lastRenderedPageBreak/>
        <w:t xml:space="preserve">mesocarpo e a análise química que especifica o teor de SST (sólidos solúveis totais) expressa em </w:t>
      </w:r>
      <w:proofErr w:type="spellStart"/>
      <w:proofErr w:type="gramStart"/>
      <w:r w:rsidR="00D93F4D" w:rsidRPr="003375E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93F4D" w:rsidRPr="003375EB">
        <w:rPr>
          <w:rFonts w:ascii="Times New Roman" w:hAnsi="Times New Roman" w:cs="Times New Roman"/>
          <w:sz w:val="24"/>
          <w:szCs w:val="24"/>
        </w:rPr>
        <w:t>Bix</w:t>
      </w:r>
      <w:proofErr w:type="spellEnd"/>
      <w:proofErr w:type="gramEnd"/>
      <w:r w:rsidR="00D93F4D" w:rsidRPr="003375EB">
        <w:rPr>
          <w:rFonts w:ascii="Times New Roman" w:hAnsi="Times New Roman" w:cs="Times New Roman"/>
          <w:sz w:val="24"/>
          <w:szCs w:val="24"/>
        </w:rPr>
        <w:t>.</w:t>
      </w:r>
    </w:p>
    <w:p w:rsidR="00D93F4D" w:rsidRPr="003375EB" w:rsidRDefault="00D93F4D" w:rsidP="00361F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49" w:rsidRDefault="00841149" w:rsidP="00361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EB">
        <w:rPr>
          <w:rFonts w:ascii="Times New Roman" w:hAnsi="Times New Roman" w:cs="Times New Roman"/>
          <w:b/>
          <w:sz w:val="24"/>
          <w:szCs w:val="24"/>
        </w:rPr>
        <w:t>M</w:t>
      </w:r>
      <w:r w:rsidR="005E4D64">
        <w:rPr>
          <w:rFonts w:ascii="Times New Roman" w:hAnsi="Times New Roman" w:cs="Times New Roman"/>
          <w:b/>
          <w:sz w:val="24"/>
          <w:szCs w:val="24"/>
        </w:rPr>
        <w:t>ATERIAL E MÉTODOS</w:t>
      </w:r>
    </w:p>
    <w:p w:rsidR="00AC24AD" w:rsidRDefault="00AC24AD" w:rsidP="00361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B01" w:rsidRPr="003375EB" w:rsidRDefault="00841149" w:rsidP="003A5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O experimento foi conduzido na Universidade Estadual da Paraíba, no período de abril e maio de 2010. Foram </w:t>
      </w:r>
      <w:r w:rsidR="009E1F2D" w:rsidRPr="003375EB">
        <w:rPr>
          <w:rFonts w:ascii="Times New Roman" w:hAnsi="Times New Roman" w:cs="Times New Roman"/>
          <w:sz w:val="24"/>
          <w:szCs w:val="24"/>
        </w:rPr>
        <w:t>realizadas</w:t>
      </w:r>
      <w:r w:rsidRPr="003375EB">
        <w:rPr>
          <w:rFonts w:ascii="Times New Roman" w:hAnsi="Times New Roman" w:cs="Times New Roman"/>
          <w:sz w:val="24"/>
          <w:szCs w:val="24"/>
        </w:rPr>
        <w:t xml:space="preserve"> coletas de dados correspondentes a caracterização física e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Bix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de frutos da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cajaraneira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e dos frutos da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cajarana-umbu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. </w:t>
      </w:r>
      <w:r w:rsidR="009E1F2D" w:rsidRPr="003375EB">
        <w:rPr>
          <w:rFonts w:ascii="Times New Roman" w:hAnsi="Times New Roman" w:cs="Times New Roman"/>
          <w:sz w:val="24"/>
          <w:szCs w:val="24"/>
        </w:rPr>
        <w:t>Os frutos foram coletados manualmente das plantas adultas, apresentando crescimento e desenvolvimento veg</w:t>
      </w:r>
      <w:r w:rsidR="00361F5F">
        <w:rPr>
          <w:rFonts w:ascii="Times New Roman" w:hAnsi="Times New Roman" w:cs="Times New Roman"/>
          <w:sz w:val="24"/>
          <w:szCs w:val="24"/>
        </w:rPr>
        <w:t>etativo e de produção normais, l</w:t>
      </w:r>
      <w:r w:rsidR="009E1F2D" w:rsidRPr="003375EB">
        <w:rPr>
          <w:rFonts w:ascii="Times New Roman" w:hAnsi="Times New Roman" w:cs="Times New Roman"/>
          <w:sz w:val="24"/>
          <w:szCs w:val="24"/>
        </w:rPr>
        <w:t xml:space="preserve">ocalizadas no município de catolé do Rocha, PB.  </w:t>
      </w:r>
    </w:p>
    <w:p w:rsidR="003A597F" w:rsidRDefault="009E1F2D" w:rsidP="003A5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Antes da coleta de amostragem as árvores foram caracterizadas em função do tipo dos frutos, em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cajarana-umbu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. Foram coletados frutos em quatro estágios de maturação: verde (casca com coloração verde escura); de vez (casca com coloração verde amarelada); madura (casca apresentando totalmente amarelada com fruto ainda na planta) e maturação avançada (frutos caídos da árvore, mas em bom estado). </w:t>
      </w:r>
    </w:p>
    <w:p w:rsidR="00B04871" w:rsidRDefault="009E1F2D" w:rsidP="003A5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Logo após a coleta, os frutos foram acondicionados em caixas térmicas para evitar escoriações e/ou outros danos mecânicos e transportados até o laboratório. Em seguida uniformizados de acordo com o grau de maturação e realizado a classificação de </w:t>
      </w:r>
      <w:r w:rsidRPr="003375EB">
        <w:rPr>
          <w:rFonts w:ascii="Times New Roman" w:hAnsi="Times New Roman" w:cs="Times New Roman"/>
          <w:sz w:val="24"/>
          <w:szCs w:val="24"/>
        </w:rPr>
        <w:lastRenderedPageBreak/>
        <w:t>acordo com a firmeza da pol</w:t>
      </w:r>
      <w:r w:rsidR="00584FD4">
        <w:rPr>
          <w:rFonts w:ascii="Times New Roman" w:hAnsi="Times New Roman" w:cs="Times New Roman"/>
          <w:sz w:val="24"/>
          <w:szCs w:val="24"/>
        </w:rPr>
        <w:t xml:space="preserve">pa e coloração da </w:t>
      </w:r>
      <w:r w:rsidR="00584FD4">
        <w:rPr>
          <w:rFonts w:ascii="Times New Roman" w:hAnsi="Times New Roman" w:cs="Times New Roman"/>
          <w:sz w:val="24"/>
          <w:szCs w:val="24"/>
        </w:rPr>
        <w:lastRenderedPageBreak/>
        <w:t>casca. (Tabela</w:t>
      </w:r>
      <w:r w:rsidRPr="003375EB">
        <w:rPr>
          <w:rFonts w:ascii="Times New Roman" w:hAnsi="Times New Roman" w:cs="Times New Roman"/>
          <w:sz w:val="24"/>
          <w:szCs w:val="24"/>
        </w:rPr>
        <w:t xml:space="preserve"> 1)</w:t>
      </w:r>
      <w:r w:rsidR="00361F5F">
        <w:rPr>
          <w:rFonts w:ascii="Times New Roman" w:hAnsi="Times New Roman" w:cs="Times New Roman"/>
          <w:sz w:val="24"/>
          <w:szCs w:val="24"/>
        </w:rPr>
        <w:t>.</w:t>
      </w:r>
    </w:p>
    <w:p w:rsidR="00084D10" w:rsidRDefault="00084D10" w:rsidP="00DB02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84D10" w:rsidSect="00084D10">
          <w:type w:val="continuous"/>
          <w:pgSz w:w="11906" w:h="16838"/>
          <w:pgMar w:top="1701" w:right="1134" w:bottom="1560" w:left="1134" w:header="709" w:footer="709" w:gutter="0"/>
          <w:cols w:num="2" w:space="708"/>
          <w:docGrid w:linePitch="360"/>
        </w:sectPr>
      </w:pPr>
    </w:p>
    <w:p w:rsidR="00084D10" w:rsidRDefault="00084D10" w:rsidP="00DB02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12A" w:rsidRPr="003375EB" w:rsidRDefault="00584FD4" w:rsidP="00DB02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</w:t>
      </w:r>
      <w:r w:rsidR="006C612A" w:rsidRPr="003375EB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6C612A" w:rsidRPr="003375EB">
        <w:rPr>
          <w:rFonts w:ascii="Times New Roman" w:hAnsi="Times New Roman" w:cs="Times New Roman"/>
          <w:sz w:val="24"/>
          <w:szCs w:val="24"/>
        </w:rPr>
        <w:t xml:space="preserve"> Classificação e descrição dos estágios de maturação da </w:t>
      </w:r>
      <w:proofErr w:type="spellStart"/>
      <w:r w:rsidR="006C612A" w:rsidRPr="003375EB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="006C612A" w:rsidRPr="003375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612A" w:rsidRPr="003375EB">
        <w:rPr>
          <w:rFonts w:ascii="Times New Roman" w:hAnsi="Times New Roman" w:cs="Times New Roman"/>
          <w:sz w:val="24"/>
          <w:szCs w:val="24"/>
        </w:rPr>
        <w:t>cajarana-umbu</w:t>
      </w:r>
      <w:proofErr w:type="spellEnd"/>
      <w:r w:rsidR="006C612A" w:rsidRPr="003375E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512"/>
        <w:gridCol w:w="6099"/>
      </w:tblGrid>
      <w:tr w:rsidR="00AD7422" w:rsidRPr="003375EB" w:rsidTr="00584FD4">
        <w:trPr>
          <w:trHeight w:val="557"/>
        </w:trPr>
        <w:tc>
          <w:tcPr>
            <w:tcW w:w="3512" w:type="dxa"/>
          </w:tcPr>
          <w:p w:rsidR="00AD7422" w:rsidRPr="003375EB" w:rsidRDefault="00AD7422" w:rsidP="00B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EB">
              <w:rPr>
                <w:rFonts w:ascii="Times New Roman" w:hAnsi="Times New Roman" w:cs="Times New Roman"/>
                <w:sz w:val="24"/>
                <w:szCs w:val="24"/>
              </w:rPr>
              <w:t>Estágios de maturação do fruto</w:t>
            </w:r>
          </w:p>
        </w:tc>
        <w:tc>
          <w:tcPr>
            <w:tcW w:w="6099" w:type="dxa"/>
          </w:tcPr>
          <w:p w:rsidR="00AD7422" w:rsidRPr="003375EB" w:rsidRDefault="006C612A" w:rsidP="00B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EB">
              <w:rPr>
                <w:rFonts w:ascii="Times New Roman" w:hAnsi="Times New Roman" w:cs="Times New Roman"/>
                <w:sz w:val="24"/>
                <w:szCs w:val="24"/>
              </w:rPr>
              <w:t xml:space="preserve">Descrição </w:t>
            </w:r>
          </w:p>
        </w:tc>
      </w:tr>
      <w:tr w:rsidR="00AD7422" w:rsidRPr="003375EB" w:rsidTr="00584FD4">
        <w:trPr>
          <w:trHeight w:val="557"/>
        </w:trPr>
        <w:tc>
          <w:tcPr>
            <w:tcW w:w="3512" w:type="dxa"/>
          </w:tcPr>
          <w:p w:rsidR="00AD7422" w:rsidRPr="003375EB" w:rsidRDefault="006C612A" w:rsidP="00B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EB">
              <w:rPr>
                <w:rFonts w:ascii="Times New Roman" w:hAnsi="Times New Roman" w:cs="Times New Roman"/>
                <w:sz w:val="24"/>
                <w:szCs w:val="24"/>
              </w:rPr>
              <w:t xml:space="preserve">Verde </w:t>
            </w:r>
          </w:p>
        </w:tc>
        <w:tc>
          <w:tcPr>
            <w:tcW w:w="6099" w:type="dxa"/>
          </w:tcPr>
          <w:p w:rsidR="00AD7422" w:rsidRPr="003375EB" w:rsidRDefault="006C612A" w:rsidP="00B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EB">
              <w:rPr>
                <w:rFonts w:ascii="Times New Roman" w:hAnsi="Times New Roman" w:cs="Times New Roman"/>
                <w:sz w:val="24"/>
                <w:szCs w:val="24"/>
              </w:rPr>
              <w:t>- frutos com coloração externa totalmente verde escuro, polpa com consistência muito firme.</w:t>
            </w:r>
          </w:p>
        </w:tc>
      </w:tr>
      <w:tr w:rsidR="00AD7422" w:rsidRPr="003375EB" w:rsidTr="00584FD4">
        <w:trPr>
          <w:trHeight w:val="557"/>
        </w:trPr>
        <w:tc>
          <w:tcPr>
            <w:tcW w:w="3512" w:type="dxa"/>
          </w:tcPr>
          <w:p w:rsidR="00AD7422" w:rsidRPr="003375EB" w:rsidRDefault="006C612A" w:rsidP="00B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EB">
              <w:rPr>
                <w:rFonts w:ascii="Times New Roman" w:hAnsi="Times New Roman" w:cs="Times New Roman"/>
                <w:sz w:val="24"/>
                <w:szCs w:val="24"/>
              </w:rPr>
              <w:t>De vez</w:t>
            </w:r>
          </w:p>
        </w:tc>
        <w:tc>
          <w:tcPr>
            <w:tcW w:w="6099" w:type="dxa"/>
          </w:tcPr>
          <w:p w:rsidR="00AD7422" w:rsidRPr="003375EB" w:rsidRDefault="006C612A" w:rsidP="00B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EB">
              <w:rPr>
                <w:rFonts w:ascii="Times New Roman" w:hAnsi="Times New Roman" w:cs="Times New Roman"/>
                <w:sz w:val="24"/>
                <w:szCs w:val="24"/>
              </w:rPr>
              <w:t>- frutos com coloração externa parcialmente verde escuro (50%), polpa com consistência firme.</w:t>
            </w:r>
          </w:p>
        </w:tc>
      </w:tr>
      <w:tr w:rsidR="00AD7422" w:rsidRPr="003375EB" w:rsidTr="00584FD4">
        <w:trPr>
          <w:trHeight w:val="557"/>
        </w:trPr>
        <w:tc>
          <w:tcPr>
            <w:tcW w:w="3512" w:type="dxa"/>
          </w:tcPr>
          <w:p w:rsidR="00AD7422" w:rsidRPr="003375EB" w:rsidRDefault="006C612A" w:rsidP="00B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EB">
              <w:rPr>
                <w:rFonts w:ascii="Times New Roman" w:hAnsi="Times New Roman" w:cs="Times New Roman"/>
                <w:sz w:val="24"/>
                <w:szCs w:val="24"/>
              </w:rPr>
              <w:t>Maduro</w:t>
            </w:r>
          </w:p>
        </w:tc>
        <w:tc>
          <w:tcPr>
            <w:tcW w:w="6099" w:type="dxa"/>
          </w:tcPr>
          <w:p w:rsidR="00AD7422" w:rsidRPr="003375EB" w:rsidRDefault="006C612A" w:rsidP="00B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EB">
              <w:rPr>
                <w:rFonts w:ascii="Times New Roman" w:hAnsi="Times New Roman" w:cs="Times New Roman"/>
                <w:sz w:val="24"/>
                <w:szCs w:val="24"/>
              </w:rPr>
              <w:t>- frutos com coloração externa totalmente amarela, polpa com consistência firme.</w:t>
            </w:r>
          </w:p>
        </w:tc>
      </w:tr>
      <w:tr w:rsidR="006C612A" w:rsidRPr="003375EB" w:rsidTr="00584FD4">
        <w:trPr>
          <w:trHeight w:val="494"/>
        </w:trPr>
        <w:tc>
          <w:tcPr>
            <w:tcW w:w="3512" w:type="dxa"/>
          </w:tcPr>
          <w:p w:rsidR="006C612A" w:rsidRPr="003375EB" w:rsidRDefault="006C612A" w:rsidP="00B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EB">
              <w:rPr>
                <w:rFonts w:ascii="Times New Roman" w:hAnsi="Times New Roman" w:cs="Times New Roman"/>
                <w:sz w:val="24"/>
                <w:szCs w:val="24"/>
              </w:rPr>
              <w:t>Maturação avançada (em início de deterioração)</w:t>
            </w:r>
          </w:p>
        </w:tc>
        <w:tc>
          <w:tcPr>
            <w:tcW w:w="6099" w:type="dxa"/>
          </w:tcPr>
          <w:p w:rsidR="006C612A" w:rsidRPr="003375EB" w:rsidRDefault="006C612A" w:rsidP="00B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5EB">
              <w:rPr>
                <w:rFonts w:ascii="Times New Roman" w:hAnsi="Times New Roman" w:cs="Times New Roman"/>
                <w:sz w:val="24"/>
                <w:szCs w:val="24"/>
              </w:rPr>
              <w:t>- frutos bastante maduros e caídos ao solo, apresentando polpa com consistência mole.</w:t>
            </w:r>
          </w:p>
        </w:tc>
      </w:tr>
    </w:tbl>
    <w:p w:rsidR="009E1F2D" w:rsidRDefault="006C612A" w:rsidP="003A59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51095">
        <w:rPr>
          <w:rFonts w:ascii="Times New Roman" w:hAnsi="Times New Roman" w:cs="Times New Roman"/>
          <w:sz w:val="24"/>
          <w:szCs w:val="24"/>
        </w:rPr>
        <w:t>(</w:t>
      </w:r>
      <w:r w:rsidRPr="00DB02A6">
        <w:rPr>
          <w:rFonts w:ascii="Times New Roman" w:hAnsi="Times New Roman" w:cs="Times New Roman"/>
          <w:sz w:val="18"/>
          <w:szCs w:val="18"/>
        </w:rPr>
        <w:t xml:space="preserve">COSTA </w:t>
      </w:r>
      <w:proofErr w:type="spellStart"/>
      <w:proofErr w:type="gramStart"/>
      <w:r w:rsidRPr="00DB02A6">
        <w:rPr>
          <w:rFonts w:ascii="Times New Roman" w:hAnsi="Times New Roman" w:cs="Times New Roman"/>
          <w:sz w:val="18"/>
          <w:szCs w:val="18"/>
        </w:rPr>
        <w:t>et</w:t>
      </w:r>
      <w:proofErr w:type="spellEnd"/>
      <w:proofErr w:type="gramEnd"/>
      <w:r w:rsidRPr="00DB02A6">
        <w:rPr>
          <w:rFonts w:ascii="Times New Roman" w:hAnsi="Times New Roman" w:cs="Times New Roman"/>
          <w:sz w:val="18"/>
          <w:szCs w:val="18"/>
        </w:rPr>
        <w:t xml:space="preserve"> al., 2004)</w:t>
      </w:r>
    </w:p>
    <w:p w:rsidR="003375EB" w:rsidRDefault="003375EB" w:rsidP="00EC0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1F5F" w:rsidRDefault="00361F5F" w:rsidP="00EC0ACD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361F5F" w:rsidSect="003375EB">
          <w:type w:val="continuous"/>
          <w:pgSz w:w="11906" w:h="16838"/>
          <w:pgMar w:top="1701" w:right="1134" w:bottom="1560" w:left="1134" w:header="709" w:footer="709" w:gutter="0"/>
          <w:cols w:space="708"/>
          <w:docGrid w:linePitch="360"/>
        </w:sectPr>
      </w:pPr>
    </w:p>
    <w:p w:rsidR="00EC0ACD" w:rsidRPr="003375EB" w:rsidRDefault="00EC0ACD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lastRenderedPageBreak/>
        <w:t>De cada estágio de maturação, foram coletados ao acaso 10 frutos ao acaso, os quais foram realiz</w:t>
      </w:r>
      <w:r w:rsidR="003A597F">
        <w:rPr>
          <w:rFonts w:ascii="Times New Roman" w:hAnsi="Times New Roman" w:cs="Times New Roman"/>
          <w:sz w:val="24"/>
          <w:szCs w:val="24"/>
        </w:rPr>
        <w:t>ados as seguintes determinações:</w:t>
      </w:r>
      <w:r w:rsidRPr="003375EB">
        <w:rPr>
          <w:rFonts w:ascii="Times New Roman" w:hAnsi="Times New Roman" w:cs="Times New Roman"/>
          <w:sz w:val="24"/>
          <w:szCs w:val="24"/>
        </w:rPr>
        <w:t xml:space="preserve"> </w:t>
      </w:r>
      <w:r w:rsidR="003A597F">
        <w:rPr>
          <w:rFonts w:ascii="Times New Roman" w:hAnsi="Times New Roman" w:cs="Times New Roman"/>
          <w:sz w:val="24"/>
          <w:szCs w:val="24"/>
        </w:rPr>
        <w:t>P</w:t>
      </w:r>
      <w:r w:rsidRPr="003375EB">
        <w:rPr>
          <w:rFonts w:ascii="Times New Roman" w:hAnsi="Times New Roman" w:cs="Times New Roman"/>
          <w:sz w:val="24"/>
          <w:szCs w:val="24"/>
        </w:rPr>
        <w:t>eso em g (determinada pela pesagem individual de cada fruto em uma balança com precisão de 0,01 g); diâmetro longitudinal e diâmetro transversal (obtidos por medições realizadas com a utilizaçã</w:t>
      </w:r>
      <w:r w:rsidR="003A597F">
        <w:rPr>
          <w:rFonts w:ascii="Times New Roman" w:hAnsi="Times New Roman" w:cs="Times New Roman"/>
          <w:sz w:val="24"/>
          <w:szCs w:val="24"/>
        </w:rPr>
        <w:t xml:space="preserve">o de um paquímetro </w:t>
      </w:r>
      <w:proofErr w:type="spellStart"/>
      <w:r w:rsidR="003A597F">
        <w:rPr>
          <w:rFonts w:ascii="Times New Roman" w:hAnsi="Times New Roman" w:cs="Times New Roman"/>
          <w:sz w:val="24"/>
          <w:szCs w:val="24"/>
        </w:rPr>
        <w:t>milimetrado</w:t>
      </w:r>
      <w:proofErr w:type="spellEnd"/>
      <w:r w:rsidR="003A597F">
        <w:rPr>
          <w:rFonts w:ascii="Times New Roman" w:hAnsi="Times New Roman" w:cs="Times New Roman"/>
          <w:sz w:val="24"/>
          <w:szCs w:val="24"/>
        </w:rPr>
        <w:t>). Pe</w:t>
      </w:r>
      <w:r w:rsidRPr="003375EB">
        <w:rPr>
          <w:rFonts w:ascii="Times New Roman" w:hAnsi="Times New Roman" w:cs="Times New Roman"/>
          <w:sz w:val="24"/>
          <w:szCs w:val="24"/>
        </w:rPr>
        <w:t>rcentagem de endocarpo (caroço) mesocarpo (polpa) e epicarpo (casca), separados com o auxílio de um bisturi e pesados</w:t>
      </w:r>
      <w:r w:rsidR="003A597F">
        <w:rPr>
          <w:rFonts w:ascii="Times New Roman" w:hAnsi="Times New Roman" w:cs="Times New Roman"/>
          <w:sz w:val="24"/>
          <w:szCs w:val="24"/>
        </w:rPr>
        <w:t>. S</w:t>
      </w:r>
      <w:r w:rsidRPr="003375EB">
        <w:rPr>
          <w:rFonts w:ascii="Times New Roman" w:hAnsi="Times New Roman" w:cs="Times New Roman"/>
          <w:sz w:val="24"/>
          <w:szCs w:val="24"/>
        </w:rPr>
        <w:t xml:space="preserve">ólidos solúveis totais (SST) expresso em  </w:t>
      </w:r>
      <w:proofErr w:type="spellStart"/>
      <w:proofErr w:type="gramStart"/>
      <w:r w:rsidRPr="003375E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375EB">
        <w:rPr>
          <w:rFonts w:ascii="Times New Roman" w:hAnsi="Times New Roman" w:cs="Times New Roman"/>
          <w:sz w:val="24"/>
          <w:szCs w:val="24"/>
        </w:rPr>
        <w:t>Brix</w:t>
      </w:r>
      <w:proofErr w:type="spellEnd"/>
      <w:proofErr w:type="gramEnd"/>
      <w:r w:rsidRPr="003375EB">
        <w:rPr>
          <w:rFonts w:ascii="Times New Roman" w:hAnsi="Times New Roman" w:cs="Times New Roman"/>
          <w:sz w:val="24"/>
          <w:szCs w:val="24"/>
        </w:rPr>
        <w:t xml:space="preserve"> , realizado com o auxílio de um refratômetro.</w:t>
      </w:r>
    </w:p>
    <w:p w:rsidR="00FD0B01" w:rsidRPr="003375EB" w:rsidRDefault="004B59FB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O delineamento experimental adotado foi o inteiramente casualizado em esquema fatorial 2x4 (tipos de frutos e estágios de maturação) com 10 repetições para cada estágio de maturação. </w:t>
      </w:r>
    </w:p>
    <w:p w:rsidR="004B59FB" w:rsidRPr="003375EB" w:rsidRDefault="004B59FB" w:rsidP="00361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375E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Os dados obtidos foram submetidos à análise de regressão e variância </w:t>
      </w:r>
      <w:r w:rsidRPr="003375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utilizando a </w:t>
      </w:r>
      <w:r w:rsidRPr="003375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análise de variância (ANOVA), aplicando o teste de </w:t>
      </w:r>
      <w:proofErr w:type="spellStart"/>
      <w:r w:rsidRPr="003375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Tuke</w:t>
      </w:r>
      <w:r w:rsidR="003375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</w:t>
      </w:r>
      <w:proofErr w:type="spellEnd"/>
      <w:r w:rsidR="003375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 5 % de probabilidade para a </w:t>
      </w:r>
      <w:r w:rsidRPr="00956D3F">
        <w:rPr>
          <w:rFonts w:ascii="Times New Roman" w:eastAsia="Calibri" w:hAnsi="Times New Roman" w:cs="Times New Roman"/>
          <w:bCs/>
          <w:sz w:val="24"/>
          <w:szCs w:val="24"/>
        </w:rPr>
        <w:t>comparaç</w:t>
      </w:r>
      <w:r w:rsidR="00B51095" w:rsidRPr="00956D3F">
        <w:rPr>
          <w:rFonts w:ascii="Times New Roman" w:hAnsi="Times New Roman" w:cs="Times New Roman"/>
          <w:bCs/>
          <w:sz w:val="24"/>
          <w:szCs w:val="24"/>
        </w:rPr>
        <w:t>ão das médias</w:t>
      </w:r>
      <w:r w:rsidRPr="00956D3F">
        <w:rPr>
          <w:rFonts w:ascii="Times New Roman" w:eastAsia="Calibri" w:hAnsi="Times New Roman" w:cs="Times New Roman"/>
          <w:bCs/>
          <w:sz w:val="24"/>
          <w:szCs w:val="24"/>
        </w:rPr>
        <w:t>, de acordo com Ferreira (2000).</w:t>
      </w:r>
      <w:r w:rsidRPr="003375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361F5F" w:rsidRDefault="00361F5F" w:rsidP="003375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B01" w:rsidRPr="003375EB" w:rsidRDefault="00BC134C" w:rsidP="003375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EB">
        <w:rPr>
          <w:rFonts w:ascii="Times New Roman" w:hAnsi="Times New Roman" w:cs="Times New Roman"/>
          <w:b/>
          <w:sz w:val="24"/>
          <w:szCs w:val="24"/>
        </w:rPr>
        <w:t>R</w:t>
      </w:r>
      <w:r w:rsidR="005E4D64">
        <w:rPr>
          <w:rFonts w:ascii="Times New Roman" w:hAnsi="Times New Roman" w:cs="Times New Roman"/>
          <w:b/>
          <w:sz w:val="24"/>
          <w:szCs w:val="24"/>
        </w:rPr>
        <w:t>ESULTADOS E DISCUSSÃO</w:t>
      </w:r>
    </w:p>
    <w:p w:rsidR="00084D10" w:rsidRDefault="00084D10" w:rsidP="00AB5176">
      <w:pPr>
        <w:spacing w:after="0" w:line="360" w:lineRule="auto"/>
        <w:ind w:right="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597F" w:rsidRDefault="000104F6" w:rsidP="00AB5176">
      <w:pPr>
        <w:spacing w:after="0" w:line="360" w:lineRule="auto"/>
        <w:ind w:right="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5EB">
        <w:rPr>
          <w:rFonts w:ascii="Times New Roman" w:eastAsia="Calibri" w:hAnsi="Times New Roman" w:cs="Times New Roman"/>
          <w:sz w:val="24"/>
          <w:szCs w:val="24"/>
        </w:rPr>
        <w:t xml:space="preserve">Os resultados encontrados mostraram que na evolução de maturação da </w:t>
      </w:r>
      <w:proofErr w:type="spellStart"/>
      <w:r w:rsidRPr="003375EB">
        <w:rPr>
          <w:rFonts w:ascii="Times New Roman" w:eastAsia="Calibri" w:hAnsi="Times New Roman" w:cs="Times New Roman"/>
          <w:sz w:val="24"/>
          <w:szCs w:val="24"/>
        </w:rPr>
        <w:t>cajarana</w:t>
      </w:r>
      <w:proofErr w:type="spellEnd"/>
      <w:r w:rsidRPr="003375EB">
        <w:rPr>
          <w:rFonts w:ascii="Times New Roman" w:eastAsia="Calibri" w:hAnsi="Times New Roman" w:cs="Times New Roman"/>
          <w:sz w:val="24"/>
          <w:szCs w:val="24"/>
        </w:rPr>
        <w:t xml:space="preserve">, não houve efeito estatístico nas análises físicas estudadas, contudo respondeu de forma significativa ao nível de 1% de probabilidade para a variável, sólidos solúveis totais (SST) expressa em </w:t>
      </w:r>
      <w:proofErr w:type="spellStart"/>
      <w:proofErr w:type="gramStart"/>
      <w:r w:rsidRPr="003375EB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3375EB">
        <w:rPr>
          <w:rFonts w:ascii="Times New Roman" w:eastAsia="Calibri" w:hAnsi="Times New Roman" w:cs="Times New Roman"/>
          <w:sz w:val="24"/>
          <w:szCs w:val="24"/>
        </w:rPr>
        <w:t>Brix</w:t>
      </w:r>
      <w:proofErr w:type="spellEnd"/>
      <w:proofErr w:type="gramEnd"/>
      <w:r w:rsidRPr="003375EB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AB5176" w:rsidRDefault="00AB5176" w:rsidP="00AB5176">
      <w:pPr>
        <w:spacing w:after="0" w:line="360" w:lineRule="auto"/>
        <w:ind w:right="4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5E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3375EB">
        <w:rPr>
          <w:rFonts w:ascii="Times New Roman" w:eastAsia="Calibri" w:hAnsi="Times New Roman" w:cs="Times New Roman"/>
          <w:sz w:val="24"/>
          <w:szCs w:val="24"/>
        </w:rPr>
        <w:t>cajarana</w:t>
      </w:r>
      <w:proofErr w:type="spellEnd"/>
      <w:r w:rsidRPr="003375EB">
        <w:rPr>
          <w:rFonts w:ascii="Times New Roman" w:eastAsia="Calibri" w:hAnsi="Times New Roman" w:cs="Times New Roman"/>
          <w:sz w:val="24"/>
          <w:szCs w:val="24"/>
        </w:rPr>
        <w:t xml:space="preserve"> – umbu mostrou se uma evolução que respondeu com efeito aos diferentes estágios de maturação, para as variáveis: peso (g), Sólidos Solúveis Totais e percentagem de mesocarpo e endocarpo respondendo a 1% de probabilidade e o Diâm</w:t>
      </w:r>
      <w:r>
        <w:rPr>
          <w:rFonts w:ascii="Times New Roman" w:eastAsia="Calibri" w:hAnsi="Times New Roman" w:cs="Times New Roman"/>
          <w:sz w:val="24"/>
          <w:szCs w:val="24"/>
        </w:rPr>
        <w:t>etro transversal a 5%. (Tabela 2).</w:t>
      </w:r>
    </w:p>
    <w:p w:rsidR="00084D10" w:rsidRDefault="00084D10" w:rsidP="00361F5F">
      <w:pPr>
        <w:spacing w:after="0" w:line="360" w:lineRule="auto"/>
        <w:ind w:right="45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084D10" w:rsidSect="00084D10">
          <w:type w:val="continuous"/>
          <w:pgSz w:w="11906" w:h="16838"/>
          <w:pgMar w:top="1701" w:right="1134" w:bottom="1560" w:left="1134" w:header="709" w:footer="709" w:gutter="0"/>
          <w:cols w:num="2" w:space="708"/>
          <w:docGrid w:linePitch="360"/>
        </w:sectPr>
      </w:pPr>
    </w:p>
    <w:p w:rsidR="00BC134C" w:rsidRDefault="00BC134C" w:rsidP="00361F5F">
      <w:pPr>
        <w:spacing w:after="0" w:line="36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Tabela </w:t>
      </w:r>
      <w:r w:rsidR="00584FD4">
        <w:rPr>
          <w:rFonts w:ascii="Times New Roman" w:hAnsi="Times New Roman" w:cs="Times New Roman"/>
          <w:b/>
          <w:sz w:val="24"/>
          <w:szCs w:val="24"/>
        </w:rPr>
        <w:t>2</w:t>
      </w:r>
      <w:r w:rsidRPr="003375E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3375EB">
        <w:rPr>
          <w:rFonts w:ascii="Times New Roman" w:eastAsia="Calibri" w:hAnsi="Times New Roman" w:cs="Times New Roman"/>
          <w:sz w:val="24"/>
          <w:szCs w:val="24"/>
        </w:rPr>
        <w:t xml:space="preserve">Resumo da análise de variância para </w:t>
      </w:r>
      <w:r w:rsidRPr="003375EB">
        <w:rPr>
          <w:rFonts w:ascii="Times New Roman" w:hAnsi="Times New Roman" w:cs="Times New Roman"/>
          <w:sz w:val="24"/>
          <w:szCs w:val="24"/>
        </w:rPr>
        <w:t>peso do fruto (g) diâmetros longitudinal e transversal (mm)</w:t>
      </w:r>
      <w:r w:rsidR="005D0CF0" w:rsidRPr="003375EB">
        <w:rPr>
          <w:rFonts w:ascii="Times New Roman" w:hAnsi="Times New Roman" w:cs="Times New Roman"/>
          <w:sz w:val="24"/>
          <w:szCs w:val="24"/>
        </w:rPr>
        <w:t>,</w:t>
      </w:r>
      <w:r w:rsidRPr="003375EB">
        <w:rPr>
          <w:rFonts w:ascii="Times New Roman" w:hAnsi="Times New Roman" w:cs="Times New Roman"/>
          <w:sz w:val="24"/>
          <w:szCs w:val="24"/>
        </w:rPr>
        <w:t xml:space="preserve"> porcentagem de endocarpo (caroço), mesocarpo</w:t>
      </w:r>
      <w:r w:rsidR="00327959" w:rsidRPr="003375EB">
        <w:rPr>
          <w:rFonts w:ascii="Times New Roman" w:hAnsi="Times New Roman" w:cs="Times New Roman"/>
          <w:sz w:val="24"/>
          <w:szCs w:val="24"/>
        </w:rPr>
        <w:t xml:space="preserve"> </w:t>
      </w:r>
      <w:r w:rsidRPr="003375EB">
        <w:rPr>
          <w:rFonts w:ascii="Times New Roman" w:hAnsi="Times New Roman" w:cs="Times New Roman"/>
          <w:sz w:val="24"/>
          <w:szCs w:val="24"/>
        </w:rPr>
        <w:t>(polpa e epicarpo (casca) e caracterização do Sólido solúveis totais (</w:t>
      </w:r>
      <w:proofErr w:type="spellStart"/>
      <w:proofErr w:type="gramStart"/>
      <w:r w:rsidRPr="003375E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375EB">
        <w:rPr>
          <w:rFonts w:ascii="Times New Roman" w:hAnsi="Times New Roman" w:cs="Times New Roman"/>
          <w:sz w:val="24"/>
          <w:szCs w:val="24"/>
        </w:rPr>
        <w:t>Bix</w:t>
      </w:r>
      <w:proofErr w:type="spellEnd"/>
      <w:proofErr w:type="gramEnd"/>
      <w:r w:rsidRPr="003375EB">
        <w:rPr>
          <w:rFonts w:ascii="Times New Roman" w:hAnsi="Times New Roman" w:cs="Times New Roman"/>
          <w:sz w:val="24"/>
          <w:szCs w:val="24"/>
        </w:rPr>
        <w:t>)</w:t>
      </w:r>
      <w:r w:rsidR="005D0CF0" w:rsidRPr="003375EB">
        <w:rPr>
          <w:rFonts w:ascii="Times New Roman" w:hAnsi="Times New Roman" w:cs="Times New Roman"/>
          <w:sz w:val="24"/>
          <w:szCs w:val="24"/>
        </w:rPr>
        <w:t xml:space="preserve"> nos quatro estágios de maturação da </w:t>
      </w:r>
      <w:proofErr w:type="spellStart"/>
      <w:r w:rsidR="005D0CF0" w:rsidRPr="003375EB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="005D0CF0" w:rsidRPr="003375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D0CF0" w:rsidRPr="003375EB">
        <w:rPr>
          <w:rFonts w:ascii="Times New Roman" w:hAnsi="Times New Roman" w:cs="Times New Roman"/>
          <w:sz w:val="24"/>
          <w:szCs w:val="24"/>
        </w:rPr>
        <w:t>cajarana-umbu</w:t>
      </w:r>
      <w:proofErr w:type="spellEnd"/>
      <w:r w:rsidR="005D0CF0" w:rsidRPr="003375EB">
        <w:rPr>
          <w:rFonts w:ascii="Times New Roman" w:hAnsi="Times New Roman" w:cs="Times New Roman"/>
          <w:sz w:val="24"/>
          <w:szCs w:val="24"/>
        </w:rPr>
        <w:t>.</w:t>
      </w:r>
    </w:p>
    <w:p w:rsidR="00E3537E" w:rsidRDefault="00E3537E" w:rsidP="00E3537E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567"/>
        <w:gridCol w:w="993"/>
        <w:gridCol w:w="992"/>
        <w:gridCol w:w="1134"/>
        <w:gridCol w:w="1134"/>
        <w:gridCol w:w="1276"/>
        <w:gridCol w:w="1275"/>
        <w:gridCol w:w="1134"/>
      </w:tblGrid>
      <w:tr w:rsidR="00492A78" w:rsidRPr="003375EB" w:rsidTr="00E3537E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92A78" w:rsidRPr="003375EB" w:rsidRDefault="00492A78" w:rsidP="009916BD">
            <w:pPr>
              <w:ind w:right="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75EB">
              <w:rPr>
                <w:rFonts w:ascii="Times New Roman" w:hAnsi="Times New Roman" w:cs="Times New Roman"/>
                <w:b/>
                <w:sz w:val="20"/>
                <w:szCs w:val="20"/>
              </w:rPr>
              <w:t>Cajarana</w:t>
            </w:r>
            <w:proofErr w:type="spellEnd"/>
          </w:p>
        </w:tc>
      </w:tr>
      <w:tr w:rsidR="00492A78" w:rsidRPr="003375EB" w:rsidTr="00E3537E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D0421" w:rsidRPr="003375EB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Fonte de variação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0421" w:rsidRPr="003375EB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GL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0421" w:rsidRPr="003375EB" w:rsidRDefault="00FD0421" w:rsidP="009916BD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Quadrados médios</w:t>
            </w:r>
          </w:p>
        </w:tc>
      </w:tr>
      <w:tr w:rsidR="00EC0ACD" w:rsidRPr="003375EB" w:rsidTr="00E3537E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D0421" w:rsidRPr="003375EB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0421" w:rsidRPr="003375EB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0421" w:rsidRPr="00BB11A0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>Peso (g)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0421" w:rsidRPr="00BB11A0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="00D1020A"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(mm)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0421" w:rsidRPr="00BB11A0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="00D1020A"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(mm)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0421" w:rsidRPr="00BB11A0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>% epicarpo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0421" w:rsidRPr="00BB11A0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>% mesocarpo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0421" w:rsidRPr="00BB11A0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>% endocarpo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0421" w:rsidRPr="00BB11A0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="00D1020A"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>ST</w:t>
            </w:r>
            <w:r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BB11A0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o</w:t>
            </w:r>
            <w:r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>Brix</w:t>
            </w:r>
            <w:proofErr w:type="spellEnd"/>
            <w:proofErr w:type="gramEnd"/>
            <w:r w:rsidRPr="00BB11A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C0ACD" w:rsidRPr="003375EB" w:rsidTr="00E3537E">
        <w:tc>
          <w:tcPr>
            <w:tcW w:w="1242" w:type="dxa"/>
            <w:tcBorders>
              <w:top w:val="single" w:sz="4" w:space="0" w:color="auto"/>
            </w:tcBorders>
          </w:tcPr>
          <w:p w:rsidR="00FD0421" w:rsidRPr="003375EB" w:rsidRDefault="00492A78" w:rsidP="007C11F0">
            <w:pPr>
              <w:tabs>
                <w:tab w:val="left" w:pos="777"/>
                <w:tab w:val="left" w:pos="885"/>
              </w:tabs>
              <w:ind w:left="-108"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Est. </w:t>
            </w:r>
            <w:r w:rsidR="00FD0421" w:rsidRPr="003375EB">
              <w:rPr>
                <w:rFonts w:ascii="Times New Roman" w:hAnsi="Times New Roman" w:cs="Times New Roman"/>
                <w:sz w:val="20"/>
                <w:szCs w:val="20"/>
              </w:rPr>
              <w:t>Maturação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D0421" w:rsidRPr="003375EB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0421" w:rsidRPr="003375EB" w:rsidRDefault="00830BEB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  <w:proofErr w:type="spellStart"/>
            <w:r w:rsidR="00D1020A" w:rsidRPr="003375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  <w:proofErr w:type="spellEnd"/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7,53</w:t>
            </w:r>
            <w:proofErr w:type="spellStart"/>
            <w:r w:rsidRPr="003375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  <w:proofErr w:type="spellEnd"/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5,63 </w:t>
            </w:r>
            <w:proofErr w:type="spellStart"/>
            <w:r w:rsidRPr="003375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  <w:proofErr w:type="spellEnd"/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42,59</w:t>
            </w:r>
            <w:proofErr w:type="spellStart"/>
            <w:r w:rsidRPr="003375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  <w:proofErr w:type="spellEnd"/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221,17</w:t>
            </w:r>
            <w:proofErr w:type="spellStart"/>
            <w:r w:rsidRPr="003375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  <w:proofErr w:type="spellEnd"/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84,77</w:t>
            </w:r>
            <w:proofErr w:type="spellStart"/>
            <w:r w:rsidRPr="003375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  <w:proofErr w:type="spellEnd"/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61,79**      </w:t>
            </w:r>
          </w:p>
        </w:tc>
      </w:tr>
      <w:tr w:rsidR="00EC0ACD" w:rsidRPr="003375EB" w:rsidTr="00E3537E">
        <w:tc>
          <w:tcPr>
            <w:tcW w:w="1242" w:type="dxa"/>
          </w:tcPr>
          <w:p w:rsidR="00FD0421" w:rsidRPr="003375EB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Resíduo</w:t>
            </w:r>
          </w:p>
        </w:tc>
        <w:tc>
          <w:tcPr>
            <w:tcW w:w="567" w:type="dxa"/>
          </w:tcPr>
          <w:p w:rsidR="00FD0421" w:rsidRPr="003375EB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FD0421" w:rsidRPr="003375EB" w:rsidRDefault="00830BEB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5,67               </w:t>
            </w:r>
          </w:p>
        </w:tc>
        <w:tc>
          <w:tcPr>
            <w:tcW w:w="992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7,05                </w:t>
            </w:r>
          </w:p>
        </w:tc>
        <w:tc>
          <w:tcPr>
            <w:tcW w:w="1134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4,93                </w:t>
            </w:r>
          </w:p>
        </w:tc>
        <w:tc>
          <w:tcPr>
            <w:tcW w:w="1134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57,92                </w:t>
            </w:r>
          </w:p>
        </w:tc>
        <w:tc>
          <w:tcPr>
            <w:tcW w:w="1276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135,33                </w:t>
            </w:r>
          </w:p>
        </w:tc>
        <w:tc>
          <w:tcPr>
            <w:tcW w:w="1275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37,45                </w:t>
            </w:r>
          </w:p>
        </w:tc>
        <w:tc>
          <w:tcPr>
            <w:tcW w:w="1134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2,33                </w:t>
            </w:r>
          </w:p>
        </w:tc>
      </w:tr>
      <w:tr w:rsidR="00EC0ACD" w:rsidRPr="003375EB" w:rsidTr="00E3537E">
        <w:tc>
          <w:tcPr>
            <w:tcW w:w="1242" w:type="dxa"/>
          </w:tcPr>
          <w:p w:rsidR="00FD0421" w:rsidRPr="003375EB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Total corrigido</w:t>
            </w:r>
          </w:p>
        </w:tc>
        <w:tc>
          <w:tcPr>
            <w:tcW w:w="567" w:type="dxa"/>
          </w:tcPr>
          <w:p w:rsidR="00FD0421" w:rsidRPr="003375EB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FD0421" w:rsidRPr="003375EB" w:rsidRDefault="00830BEB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221,97                        </w:t>
            </w:r>
          </w:p>
        </w:tc>
        <w:tc>
          <w:tcPr>
            <w:tcW w:w="992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276,46                                </w:t>
            </w:r>
          </w:p>
        </w:tc>
        <w:tc>
          <w:tcPr>
            <w:tcW w:w="1134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194,64                                </w:t>
            </w:r>
          </w:p>
        </w:tc>
        <w:tc>
          <w:tcPr>
            <w:tcW w:w="1134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2212,9                                </w:t>
            </w:r>
          </w:p>
        </w:tc>
        <w:tc>
          <w:tcPr>
            <w:tcW w:w="1276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5535,58                                </w:t>
            </w:r>
          </w:p>
        </w:tc>
        <w:tc>
          <w:tcPr>
            <w:tcW w:w="1275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1602,57                                </w:t>
            </w:r>
          </w:p>
        </w:tc>
        <w:tc>
          <w:tcPr>
            <w:tcW w:w="1134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269,59                                </w:t>
            </w:r>
          </w:p>
        </w:tc>
      </w:tr>
      <w:tr w:rsidR="00EC0ACD" w:rsidRPr="003375EB" w:rsidTr="00E3537E">
        <w:tc>
          <w:tcPr>
            <w:tcW w:w="1242" w:type="dxa"/>
          </w:tcPr>
          <w:p w:rsidR="00E3537E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CV%</w:t>
            </w:r>
          </w:p>
          <w:p w:rsidR="00361F5F" w:rsidRPr="003375EB" w:rsidRDefault="00361F5F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421" w:rsidRPr="003375EB" w:rsidRDefault="00FD042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0421" w:rsidRPr="003375EB" w:rsidRDefault="00830BEB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22,2  </w:t>
            </w:r>
          </w:p>
        </w:tc>
        <w:tc>
          <w:tcPr>
            <w:tcW w:w="992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proofErr w:type="gramEnd"/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597  </w:t>
            </w:r>
          </w:p>
        </w:tc>
        <w:tc>
          <w:tcPr>
            <w:tcW w:w="1134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8,68 </w:t>
            </w:r>
          </w:p>
        </w:tc>
        <w:tc>
          <w:tcPr>
            <w:tcW w:w="1134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35,09  </w:t>
            </w:r>
          </w:p>
        </w:tc>
        <w:tc>
          <w:tcPr>
            <w:tcW w:w="1276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21,02  </w:t>
            </w:r>
          </w:p>
        </w:tc>
        <w:tc>
          <w:tcPr>
            <w:tcW w:w="1275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26,63  </w:t>
            </w:r>
          </w:p>
        </w:tc>
        <w:tc>
          <w:tcPr>
            <w:tcW w:w="1134" w:type="dxa"/>
          </w:tcPr>
          <w:p w:rsidR="00FD0421" w:rsidRPr="003375EB" w:rsidRDefault="00D1020A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12,63  </w:t>
            </w:r>
          </w:p>
        </w:tc>
      </w:tr>
      <w:tr w:rsidR="00BB11A0" w:rsidRPr="003375EB" w:rsidTr="00E3537E"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BB11A0" w:rsidRPr="003375EB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871">
              <w:rPr>
                <w:rFonts w:ascii="Times New Roman" w:hAnsi="Times New Roman" w:cs="Times New Roman"/>
                <w:b/>
                <w:sz w:val="20"/>
                <w:szCs w:val="20"/>
              </w:rPr>
              <w:t>Médias</w:t>
            </w:r>
          </w:p>
        </w:tc>
      </w:tr>
      <w:tr w:rsidR="00B04871" w:rsidRPr="003375EB" w:rsidTr="00E3537E">
        <w:tc>
          <w:tcPr>
            <w:tcW w:w="1242" w:type="dxa"/>
            <w:tcBorders>
              <w:top w:val="single" w:sz="4" w:space="0" w:color="auto"/>
            </w:tcBorders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Verde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04871" w:rsidRPr="003375EB" w:rsidRDefault="00B0487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04871" w:rsidRPr="00150A88" w:rsidRDefault="00150A88" w:rsidP="00150A88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t>9,80</w:t>
            </w:r>
            <w:r>
              <w:rPr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4871" w:rsidRPr="00150A88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24,56ª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22,46ª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50,62ª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26,68ª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  <w:r w:rsidRPr="00150A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B04871" w:rsidRPr="003375EB" w:rsidTr="00E3537E">
        <w:tc>
          <w:tcPr>
            <w:tcW w:w="1242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 vez</w:t>
            </w:r>
          </w:p>
        </w:tc>
        <w:tc>
          <w:tcPr>
            <w:tcW w:w="567" w:type="dxa"/>
          </w:tcPr>
          <w:p w:rsidR="00B04871" w:rsidRPr="003375EB" w:rsidRDefault="00B0487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11,7ª</w:t>
            </w:r>
          </w:p>
        </w:tc>
        <w:tc>
          <w:tcPr>
            <w:tcW w:w="992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28,43ª</w:t>
            </w:r>
          </w:p>
        </w:tc>
        <w:tc>
          <w:tcPr>
            <w:tcW w:w="1134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26,36ª</w:t>
            </w:r>
          </w:p>
        </w:tc>
        <w:tc>
          <w:tcPr>
            <w:tcW w:w="1134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24,12ª</w:t>
            </w:r>
          </w:p>
        </w:tc>
        <w:tc>
          <w:tcPr>
            <w:tcW w:w="1276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52,51ª</w:t>
            </w:r>
          </w:p>
        </w:tc>
        <w:tc>
          <w:tcPr>
            <w:tcW w:w="1275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23,35ª</w:t>
            </w:r>
          </w:p>
        </w:tc>
        <w:tc>
          <w:tcPr>
            <w:tcW w:w="1134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12,76ª</w:t>
            </w:r>
          </w:p>
        </w:tc>
      </w:tr>
      <w:tr w:rsidR="00B04871" w:rsidRPr="003375EB" w:rsidTr="00E3537E">
        <w:tc>
          <w:tcPr>
            <w:tcW w:w="1242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Maduro</w:t>
            </w:r>
          </w:p>
        </w:tc>
        <w:tc>
          <w:tcPr>
            <w:tcW w:w="567" w:type="dxa"/>
          </w:tcPr>
          <w:p w:rsidR="00B04871" w:rsidRPr="003375EB" w:rsidRDefault="00B0487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10,7ª</w:t>
            </w:r>
          </w:p>
        </w:tc>
        <w:tc>
          <w:tcPr>
            <w:tcW w:w="992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26,86ª</w:t>
            </w:r>
          </w:p>
        </w:tc>
        <w:tc>
          <w:tcPr>
            <w:tcW w:w="1134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25,78ª</w:t>
            </w:r>
          </w:p>
        </w:tc>
        <w:tc>
          <w:tcPr>
            <w:tcW w:w="1134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19,33ª</w:t>
            </w:r>
          </w:p>
        </w:tc>
        <w:tc>
          <w:tcPr>
            <w:tcW w:w="1276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61,08ª</w:t>
            </w:r>
          </w:p>
        </w:tc>
        <w:tc>
          <w:tcPr>
            <w:tcW w:w="1275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19,66ª</w:t>
            </w:r>
          </w:p>
        </w:tc>
        <w:tc>
          <w:tcPr>
            <w:tcW w:w="1134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13,34ª</w:t>
            </w:r>
          </w:p>
        </w:tc>
      </w:tr>
      <w:tr w:rsidR="00B04871" w:rsidRPr="003375EB" w:rsidTr="00E3537E">
        <w:tc>
          <w:tcPr>
            <w:tcW w:w="1242" w:type="dxa"/>
          </w:tcPr>
          <w:p w:rsidR="00B04871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maturação</w:t>
            </w:r>
          </w:p>
          <w:p w:rsidR="00E3537E" w:rsidRPr="003375EB" w:rsidRDefault="00E3537E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04871" w:rsidRPr="003375EB" w:rsidRDefault="00B0487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10,7ª</w:t>
            </w:r>
          </w:p>
        </w:tc>
        <w:tc>
          <w:tcPr>
            <w:tcW w:w="992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28,43ª</w:t>
            </w:r>
          </w:p>
        </w:tc>
        <w:tc>
          <w:tcPr>
            <w:tcW w:w="1134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25,61ª</w:t>
            </w:r>
          </w:p>
        </w:tc>
        <w:tc>
          <w:tcPr>
            <w:tcW w:w="1134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20,83ª</w:t>
            </w:r>
          </w:p>
        </w:tc>
        <w:tc>
          <w:tcPr>
            <w:tcW w:w="1276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57,13ª</w:t>
            </w:r>
          </w:p>
        </w:tc>
        <w:tc>
          <w:tcPr>
            <w:tcW w:w="1275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22,22ª</w:t>
            </w:r>
          </w:p>
        </w:tc>
        <w:tc>
          <w:tcPr>
            <w:tcW w:w="1134" w:type="dxa"/>
          </w:tcPr>
          <w:p w:rsidR="00B04871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13,88ª</w:t>
            </w:r>
          </w:p>
        </w:tc>
      </w:tr>
      <w:tr w:rsidR="00BB11A0" w:rsidRPr="003375EB" w:rsidTr="00E3537E">
        <w:tc>
          <w:tcPr>
            <w:tcW w:w="1242" w:type="dxa"/>
            <w:tcBorders>
              <w:bottom w:val="single" w:sz="4" w:space="0" w:color="auto"/>
            </w:tcBorders>
          </w:tcPr>
          <w:p w:rsidR="00BB11A0" w:rsidRP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1A0">
              <w:rPr>
                <w:rFonts w:ascii="Times New Roman" w:hAnsi="Times New Roman" w:cs="Times New Roman"/>
                <w:b/>
                <w:sz w:val="20"/>
                <w:szCs w:val="20"/>
              </w:rPr>
              <w:t>Análise de Regressão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11A0" w:rsidRPr="003375EB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1A0" w:rsidRPr="003375EB" w:rsidTr="00E3537E">
        <w:tc>
          <w:tcPr>
            <w:tcW w:w="1242" w:type="dxa"/>
            <w:tcBorders>
              <w:top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Linear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11A0" w:rsidRPr="003375EB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BB11A0" w:rsidRPr="003375EB" w:rsidTr="00E3537E">
        <w:tc>
          <w:tcPr>
            <w:tcW w:w="1242" w:type="dxa"/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Quadrática</w:t>
            </w:r>
          </w:p>
        </w:tc>
        <w:tc>
          <w:tcPr>
            <w:tcW w:w="567" w:type="dxa"/>
          </w:tcPr>
          <w:p w:rsidR="00BB11A0" w:rsidRPr="003375EB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11A0" w:rsidRDefault="00233161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F60F50" w:rsidRPr="003375EB" w:rsidTr="00E3537E">
        <w:tc>
          <w:tcPr>
            <w:tcW w:w="1242" w:type="dxa"/>
            <w:tcBorders>
              <w:bottom w:val="single" w:sz="4" w:space="0" w:color="auto"/>
            </w:tcBorders>
          </w:tcPr>
          <w:p w:rsidR="00F60F50" w:rsidRDefault="00F60F5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Cúbica</w:t>
            </w:r>
          </w:p>
          <w:p w:rsidR="00361F5F" w:rsidRDefault="00361F5F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F5F" w:rsidRDefault="00361F5F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F50" w:rsidRDefault="00F60F5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37E" w:rsidRPr="003375EB" w:rsidRDefault="00E3537E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0F50" w:rsidRDefault="00F60F50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F50" w:rsidRDefault="00F60F50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F50" w:rsidRDefault="00F60F50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F50" w:rsidRDefault="00F60F50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0F50" w:rsidRDefault="00F60F50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0F50" w:rsidRDefault="00F60F50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F50" w:rsidRDefault="00F60F50" w:rsidP="00233161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ns</w:t>
            </w:r>
            <w:proofErr w:type="spellEnd"/>
            <w:proofErr w:type="gramEnd"/>
          </w:p>
        </w:tc>
      </w:tr>
      <w:tr w:rsidR="00E3537E" w:rsidRPr="003375EB" w:rsidTr="00E3537E">
        <w:trPr>
          <w:trHeight w:val="258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537E" w:rsidRPr="003375EB" w:rsidRDefault="00E3537E" w:rsidP="009916BD">
            <w:pPr>
              <w:ind w:right="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75EB">
              <w:rPr>
                <w:rFonts w:ascii="Times New Roman" w:hAnsi="Times New Roman" w:cs="Times New Roman"/>
                <w:b/>
                <w:sz w:val="20"/>
                <w:szCs w:val="20"/>
              </w:rPr>
              <w:t>Cajarana-umbu</w:t>
            </w:r>
            <w:proofErr w:type="spellEnd"/>
          </w:p>
        </w:tc>
      </w:tr>
      <w:tr w:rsidR="00492A78" w:rsidRPr="003375EB" w:rsidTr="00E3537E">
        <w:tc>
          <w:tcPr>
            <w:tcW w:w="1242" w:type="dxa"/>
            <w:tcBorders>
              <w:top w:val="single" w:sz="4" w:space="0" w:color="auto"/>
            </w:tcBorders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Est. Maturação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40,36** 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proofErr w:type="spellStart"/>
            <w:r w:rsidRPr="003375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  <w:proofErr w:type="spellEnd"/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10,14*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28,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proofErr w:type="spellStart"/>
            <w:r w:rsidRPr="003375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  <w:proofErr w:type="spellEnd"/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474,91**     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378,78**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2A78" w:rsidRPr="003375EB" w:rsidRDefault="00E218ED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38,04**      </w:t>
            </w:r>
          </w:p>
        </w:tc>
      </w:tr>
      <w:tr w:rsidR="00492A78" w:rsidRPr="003375EB" w:rsidTr="00E3537E">
        <w:tc>
          <w:tcPr>
            <w:tcW w:w="1242" w:type="dxa"/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Resíduo</w:t>
            </w:r>
          </w:p>
        </w:tc>
        <w:tc>
          <w:tcPr>
            <w:tcW w:w="567" w:type="dxa"/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8,51                </w:t>
            </w:r>
          </w:p>
        </w:tc>
        <w:tc>
          <w:tcPr>
            <w:tcW w:w="992" w:type="dxa"/>
          </w:tcPr>
          <w:p w:rsidR="00492A78" w:rsidRPr="003375EB" w:rsidRDefault="00E218ED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00                </w:t>
            </w:r>
          </w:p>
        </w:tc>
        <w:tc>
          <w:tcPr>
            <w:tcW w:w="1134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99                </w:t>
            </w:r>
          </w:p>
        </w:tc>
        <w:tc>
          <w:tcPr>
            <w:tcW w:w="1134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78                </w:t>
            </w:r>
          </w:p>
        </w:tc>
        <w:tc>
          <w:tcPr>
            <w:tcW w:w="1276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00                </w:t>
            </w:r>
          </w:p>
        </w:tc>
        <w:tc>
          <w:tcPr>
            <w:tcW w:w="1275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15                </w:t>
            </w:r>
          </w:p>
        </w:tc>
        <w:tc>
          <w:tcPr>
            <w:tcW w:w="1134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E218ED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15                </w:t>
            </w:r>
          </w:p>
        </w:tc>
      </w:tr>
      <w:tr w:rsidR="00492A78" w:rsidRPr="003375EB" w:rsidTr="00E3537E">
        <w:tc>
          <w:tcPr>
            <w:tcW w:w="1242" w:type="dxa"/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Total corrigido</w:t>
            </w:r>
          </w:p>
        </w:tc>
        <w:tc>
          <w:tcPr>
            <w:tcW w:w="567" w:type="dxa"/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427,50                                </w:t>
            </w:r>
          </w:p>
        </w:tc>
        <w:tc>
          <w:tcPr>
            <w:tcW w:w="992" w:type="dxa"/>
          </w:tcPr>
          <w:p w:rsidR="00492A78" w:rsidRPr="003375EB" w:rsidRDefault="00E218ED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227,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60                                </w:t>
            </w:r>
          </w:p>
        </w:tc>
        <w:tc>
          <w:tcPr>
            <w:tcW w:w="1134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138,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32                                </w:t>
            </w:r>
          </w:p>
        </w:tc>
        <w:tc>
          <w:tcPr>
            <w:tcW w:w="1134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942,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19                                </w:t>
            </w:r>
          </w:p>
        </w:tc>
        <w:tc>
          <w:tcPr>
            <w:tcW w:w="1276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2864,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84                                </w:t>
            </w:r>
          </w:p>
        </w:tc>
        <w:tc>
          <w:tcPr>
            <w:tcW w:w="1275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1466,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02                                </w:t>
            </w:r>
          </w:p>
        </w:tc>
        <w:tc>
          <w:tcPr>
            <w:tcW w:w="1134" w:type="dxa"/>
          </w:tcPr>
          <w:p w:rsidR="00492A78" w:rsidRPr="003375EB" w:rsidRDefault="00E218ED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7959" w:rsidRPr="003375EB">
              <w:rPr>
                <w:rFonts w:ascii="Times New Roman" w:hAnsi="Times New Roman" w:cs="Times New Roman"/>
                <w:sz w:val="20"/>
                <w:szCs w:val="20"/>
              </w:rPr>
              <w:t>91,</w:t>
            </w: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65                                </w:t>
            </w:r>
          </w:p>
        </w:tc>
      </w:tr>
      <w:tr w:rsidR="00492A78" w:rsidRPr="003375EB" w:rsidTr="00E3537E">
        <w:tc>
          <w:tcPr>
            <w:tcW w:w="1242" w:type="dxa"/>
          </w:tcPr>
          <w:p w:rsidR="00E3537E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CV%</w:t>
            </w:r>
          </w:p>
          <w:p w:rsidR="00361F5F" w:rsidRPr="003375EB" w:rsidRDefault="00361F5F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92A78" w:rsidRPr="003375EB" w:rsidRDefault="00492A7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15,15  </w:t>
            </w:r>
          </w:p>
        </w:tc>
        <w:tc>
          <w:tcPr>
            <w:tcW w:w="992" w:type="dxa"/>
          </w:tcPr>
          <w:p w:rsidR="00492A78" w:rsidRPr="003375EB" w:rsidRDefault="00E218ED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08  </w:t>
            </w:r>
          </w:p>
        </w:tc>
        <w:tc>
          <w:tcPr>
            <w:tcW w:w="1134" w:type="dxa"/>
          </w:tcPr>
          <w:p w:rsidR="00492A78" w:rsidRPr="003375EB" w:rsidRDefault="00327959" w:rsidP="0099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55  </w:t>
            </w:r>
          </w:p>
        </w:tc>
        <w:tc>
          <w:tcPr>
            <w:tcW w:w="1134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24,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89  </w:t>
            </w:r>
          </w:p>
        </w:tc>
        <w:tc>
          <w:tcPr>
            <w:tcW w:w="1276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85 </w:t>
            </w:r>
          </w:p>
        </w:tc>
        <w:tc>
          <w:tcPr>
            <w:tcW w:w="1275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18,</w:t>
            </w:r>
            <w:r w:rsidR="00492A78" w:rsidRPr="00337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 </w:t>
            </w:r>
          </w:p>
        </w:tc>
        <w:tc>
          <w:tcPr>
            <w:tcW w:w="1134" w:type="dxa"/>
          </w:tcPr>
          <w:p w:rsidR="00492A78" w:rsidRPr="003375EB" w:rsidRDefault="00327959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5EB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="00E218ED" w:rsidRPr="003375EB">
              <w:rPr>
                <w:rFonts w:ascii="Times New Roman" w:hAnsi="Times New Roman" w:cs="Times New Roman"/>
                <w:sz w:val="20"/>
                <w:szCs w:val="20"/>
              </w:rPr>
              <w:t xml:space="preserve">51  </w:t>
            </w:r>
          </w:p>
        </w:tc>
      </w:tr>
      <w:tr w:rsidR="00B04871" w:rsidRPr="003375EB" w:rsidTr="00E3537E">
        <w:tc>
          <w:tcPr>
            <w:tcW w:w="1242" w:type="dxa"/>
            <w:tcBorders>
              <w:bottom w:val="single" w:sz="4" w:space="0" w:color="auto"/>
            </w:tcBorders>
          </w:tcPr>
          <w:p w:rsidR="00B04871" w:rsidRPr="00B04871" w:rsidRDefault="00B04871" w:rsidP="009916BD">
            <w:pPr>
              <w:ind w:right="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Médias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871" w:rsidRPr="003375EB" w:rsidRDefault="00B0487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4871" w:rsidRPr="003375EB" w:rsidRDefault="00B0487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4871" w:rsidRPr="003375EB" w:rsidRDefault="00B0487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4871" w:rsidRPr="003375EB" w:rsidRDefault="00B04871" w:rsidP="00991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4871" w:rsidRPr="003375EB" w:rsidRDefault="00B0487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4871" w:rsidRPr="003375EB" w:rsidRDefault="00B0487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4871" w:rsidRPr="003375EB" w:rsidRDefault="00B0487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4871" w:rsidRPr="003375EB" w:rsidRDefault="00B04871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88" w:rsidRPr="003375EB" w:rsidTr="00E3537E">
        <w:tc>
          <w:tcPr>
            <w:tcW w:w="1242" w:type="dxa"/>
            <w:tcBorders>
              <w:top w:val="single" w:sz="4" w:space="0" w:color="auto"/>
            </w:tcBorders>
          </w:tcPr>
          <w:p w:rsidR="00150A88" w:rsidRPr="003375EB" w:rsidRDefault="00150A88" w:rsidP="00C724D9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Verde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50A88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0A88" w:rsidRPr="004050B6" w:rsidRDefault="00150A88" w:rsidP="004050B6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  <w:r w:rsidR="004050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0A88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35,09ª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0A88" w:rsidRPr="004050B6" w:rsidRDefault="004050B6" w:rsidP="009916B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0A88" w:rsidRPr="003375EB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21,33ª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0A88" w:rsidRPr="004050B6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50A88" w:rsidRPr="004050B6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25,94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0A88" w:rsidRPr="004050B6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150A88" w:rsidRPr="003375EB" w:rsidTr="00E3537E">
        <w:tc>
          <w:tcPr>
            <w:tcW w:w="1242" w:type="dxa"/>
          </w:tcPr>
          <w:p w:rsidR="00150A88" w:rsidRPr="003375EB" w:rsidRDefault="00150A88" w:rsidP="00C724D9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 vez</w:t>
            </w:r>
          </w:p>
        </w:tc>
        <w:tc>
          <w:tcPr>
            <w:tcW w:w="567" w:type="dxa"/>
          </w:tcPr>
          <w:p w:rsidR="00150A88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0A88" w:rsidRPr="004050B6" w:rsidRDefault="00150A88" w:rsidP="004050B6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  <w:r w:rsidR="004050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2" w:type="dxa"/>
          </w:tcPr>
          <w:p w:rsidR="00150A88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33,7ª</w:t>
            </w:r>
          </w:p>
        </w:tc>
        <w:tc>
          <w:tcPr>
            <w:tcW w:w="1134" w:type="dxa"/>
          </w:tcPr>
          <w:p w:rsidR="00150A88" w:rsidRPr="004050B6" w:rsidRDefault="004050B6" w:rsidP="009916B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150A88" w:rsidRPr="003375EB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17,94ª</w:t>
            </w:r>
          </w:p>
        </w:tc>
        <w:tc>
          <w:tcPr>
            <w:tcW w:w="1276" w:type="dxa"/>
          </w:tcPr>
          <w:p w:rsidR="00150A88" w:rsidRPr="003375EB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68,84ª</w:t>
            </w:r>
          </w:p>
        </w:tc>
        <w:tc>
          <w:tcPr>
            <w:tcW w:w="1275" w:type="dxa"/>
          </w:tcPr>
          <w:p w:rsidR="00150A88" w:rsidRPr="004050B6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13,83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134" w:type="dxa"/>
          </w:tcPr>
          <w:p w:rsidR="00150A88" w:rsidRPr="004050B6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150A88" w:rsidRPr="003375EB" w:rsidTr="00E3537E">
        <w:tc>
          <w:tcPr>
            <w:tcW w:w="1242" w:type="dxa"/>
          </w:tcPr>
          <w:p w:rsidR="00150A88" w:rsidRPr="003375EB" w:rsidRDefault="00150A88" w:rsidP="00C724D9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Maduro</w:t>
            </w:r>
          </w:p>
        </w:tc>
        <w:tc>
          <w:tcPr>
            <w:tcW w:w="567" w:type="dxa"/>
          </w:tcPr>
          <w:p w:rsidR="00150A88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0A88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20,3ª</w:t>
            </w:r>
          </w:p>
        </w:tc>
        <w:tc>
          <w:tcPr>
            <w:tcW w:w="992" w:type="dxa"/>
          </w:tcPr>
          <w:p w:rsidR="00150A88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34,87ª</w:t>
            </w:r>
          </w:p>
        </w:tc>
        <w:tc>
          <w:tcPr>
            <w:tcW w:w="1134" w:type="dxa"/>
          </w:tcPr>
          <w:p w:rsidR="00150A88" w:rsidRPr="003375EB" w:rsidRDefault="004050B6" w:rsidP="0099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32,11ª</w:t>
            </w:r>
          </w:p>
        </w:tc>
        <w:tc>
          <w:tcPr>
            <w:tcW w:w="1134" w:type="dxa"/>
          </w:tcPr>
          <w:p w:rsidR="00150A88" w:rsidRPr="003375EB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18,34ª</w:t>
            </w:r>
          </w:p>
        </w:tc>
        <w:tc>
          <w:tcPr>
            <w:tcW w:w="1276" w:type="dxa"/>
          </w:tcPr>
          <w:p w:rsidR="00150A88" w:rsidRPr="003375EB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67,98ª</w:t>
            </w:r>
          </w:p>
        </w:tc>
        <w:tc>
          <w:tcPr>
            <w:tcW w:w="1275" w:type="dxa"/>
          </w:tcPr>
          <w:p w:rsidR="00150A88" w:rsidRPr="004050B6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13,76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134" w:type="dxa"/>
          </w:tcPr>
          <w:p w:rsidR="00150A88" w:rsidRPr="004050B6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</w:tr>
      <w:tr w:rsidR="00150A88" w:rsidRPr="003375EB" w:rsidTr="00E3537E">
        <w:tc>
          <w:tcPr>
            <w:tcW w:w="1242" w:type="dxa"/>
          </w:tcPr>
          <w:p w:rsidR="00150A88" w:rsidRDefault="00150A88" w:rsidP="00C724D9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maturação</w:t>
            </w:r>
          </w:p>
          <w:p w:rsidR="00E3537E" w:rsidRPr="003375EB" w:rsidRDefault="00E3537E" w:rsidP="00C724D9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50A88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0A88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21,3ª</w:t>
            </w:r>
          </w:p>
        </w:tc>
        <w:tc>
          <w:tcPr>
            <w:tcW w:w="992" w:type="dxa"/>
          </w:tcPr>
          <w:p w:rsidR="00150A88" w:rsidRPr="003375EB" w:rsidRDefault="00150A88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34,74ª</w:t>
            </w:r>
          </w:p>
        </w:tc>
        <w:tc>
          <w:tcPr>
            <w:tcW w:w="1134" w:type="dxa"/>
          </w:tcPr>
          <w:p w:rsidR="00150A88" w:rsidRPr="003375EB" w:rsidRDefault="004050B6" w:rsidP="00991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31,86ab</w:t>
            </w:r>
          </w:p>
        </w:tc>
        <w:tc>
          <w:tcPr>
            <w:tcW w:w="1134" w:type="dxa"/>
          </w:tcPr>
          <w:p w:rsidR="00150A88" w:rsidRPr="003375EB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20,73ª</w:t>
            </w:r>
          </w:p>
        </w:tc>
        <w:tc>
          <w:tcPr>
            <w:tcW w:w="1276" w:type="dxa"/>
          </w:tcPr>
          <w:p w:rsidR="00150A88" w:rsidRPr="003375EB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65,95ª</w:t>
            </w:r>
          </w:p>
        </w:tc>
        <w:tc>
          <w:tcPr>
            <w:tcW w:w="1275" w:type="dxa"/>
          </w:tcPr>
          <w:p w:rsidR="00150A88" w:rsidRPr="004050B6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13,31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134" w:type="dxa"/>
          </w:tcPr>
          <w:p w:rsidR="00150A88" w:rsidRPr="003375EB" w:rsidRDefault="004050B6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13,7ª</w:t>
            </w:r>
          </w:p>
        </w:tc>
      </w:tr>
      <w:tr w:rsidR="00BB11A0" w:rsidRPr="003375EB" w:rsidTr="00E3537E">
        <w:tc>
          <w:tcPr>
            <w:tcW w:w="1242" w:type="dxa"/>
            <w:tcBorders>
              <w:bottom w:val="single" w:sz="4" w:space="0" w:color="auto"/>
            </w:tcBorders>
          </w:tcPr>
          <w:p w:rsidR="00BB11A0" w:rsidRPr="00BB11A0" w:rsidRDefault="00BB11A0" w:rsidP="00C724D9">
            <w:pPr>
              <w:ind w:right="4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1A0">
              <w:rPr>
                <w:rFonts w:ascii="Times New Roman" w:hAnsi="Times New Roman" w:cs="Times New Roman"/>
                <w:b/>
                <w:sz w:val="20"/>
                <w:szCs w:val="20"/>
              </w:rPr>
              <w:t>Análise de Regressão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11A0" w:rsidRPr="003375EB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1A0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1A0" w:rsidRPr="003375EB" w:rsidTr="00E3537E">
        <w:tc>
          <w:tcPr>
            <w:tcW w:w="1242" w:type="dxa"/>
            <w:tcBorders>
              <w:top w:val="single" w:sz="4" w:space="0" w:color="auto"/>
            </w:tcBorders>
          </w:tcPr>
          <w:p w:rsidR="00BB11A0" w:rsidRDefault="00BB11A0" w:rsidP="00C724D9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Linear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11A0" w:rsidRPr="003375EB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B11A0" w:rsidRDefault="00F60F5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11A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11A0" w:rsidRDefault="00F60F50" w:rsidP="00F60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11A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11A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11A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11A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BB11A0" w:rsidRPr="003375EB" w:rsidTr="00E3537E">
        <w:tc>
          <w:tcPr>
            <w:tcW w:w="1242" w:type="dxa"/>
          </w:tcPr>
          <w:p w:rsidR="00BB11A0" w:rsidRDefault="00BB11A0" w:rsidP="00C724D9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Quadrática</w:t>
            </w:r>
          </w:p>
        </w:tc>
        <w:tc>
          <w:tcPr>
            <w:tcW w:w="567" w:type="dxa"/>
          </w:tcPr>
          <w:p w:rsidR="00BB11A0" w:rsidRPr="003375EB" w:rsidRDefault="00BB11A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B11A0" w:rsidRDefault="00F60F5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ns</w:t>
            </w:r>
            <w:proofErr w:type="spellEnd"/>
            <w:proofErr w:type="gramEnd"/>
          </w:p>
        </w:tc>
        <w:tc>
          <w:tcPr>
            <w:tcW w:w="992" w:type="dxa"/>
          </w:tcPr>
          <w:p w:rsidR="00BB11A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11A0" w:rsidRDefault="00F60F50" w:rsidP="00F60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ns</w:t>
            </w:r>
            <w:proofErr w:type="spellEnd"/>
            <w:proofErr w:type="gramEnd"/>
          </w:p>
        </w:tc>
        <w:tc>
          <w:tcPr>
            <w:tcW w:w="1134" w:type="dxa"/>
          </w:tcPr>
          <w:p w:rsidR="00BB11A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11A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275" w:type="dxa"/>
          </w:tcPr>
          <w:p w:rsidR="00BB11A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134" w:type="dxa"/>
          </w:tcPr>
          <w:p w:rsidR="00BB11A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ns</w:t>
            </w:r>
            <w:proofErr w:type="spellEnd"/>
            <w:proofErr w:type="gramEnd"/>
          </w:p>
        </w:tc>
      </w:tr>
      <w:tr w:rsidR="00F60F50" w:rsidRPr="003375EB" w:rsidTr="00E3537E">
        <w:tc>
          <w:tcPr>
            <w:tcW w:w="1242" w:type="dxa"/>
            <w:tcBorders>
              <w:bottom w:val="single" w:sz="4" w:space="0" w:color="auto"/>
            </w:tcBorders>
          </w:tcPr>
          <w:p w:rsidR="00F60F50" w:rsidRDefault="00F60F50" w:rsidP="00C724D9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Cúbica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F50" w:rsidRPr="003375EB" w:rsidRDefault="00F60F5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0F50" w:rsidRDefault="00F60F50" w:rsidP="009916BD">
            <w:pPr>
              <w:ind w:right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ns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F5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F50" w:rsidRDefault="00F60F50" w:rsidP="00F60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ns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F5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0F5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ns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0F5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F50" w:rsidRDefault="00F60F50" w:rsidP="00F60F50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ns</w:t>
            </w:r>
            <w:proofErr w:type="spellEnd"/>
            <w:proofErr w:type="gramEnd"/>
          </w:p>
        </w:tc>
      </w:tr>
    </w:tbl>
    <w:p w:rsidR="00B04871" w:rsidRPr="00E3537E" w:rsidRDefault="00BC134C" w:rsidP="00E3537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B04871" w:rsidRPr="00E3537E" w:rsidSect="003375EB">
          <w:type w:val="continuous"/>
          <w:pgSz w:w="11906" w:h="16838"/>
          <w:pgMar w:top="1701" w:right="1134" w:bottom="1560" w:left="1134" w:header="709" w:footer="709" w:gutter="0"/>
          <w:cols w:space="708"/>
          <w:docGrid w:linePitch="360"/>
        </w:sectPr>
      </w:pPr>
      <w:r w:rsidRPr="003375EB">
        <w:rPr>
          <w:rFonts w:ascii="Times New Roman" w:eastAsia="Calibri" w:hAnsi="Times New Roman" w:cs="Times New Roman"/>
          <w:sz w:val="18"/>
          <w:szCs w:val="18"/>
        </w:rPr>
        <w:t xml:space="preserve">*, **, significativo ao nível de 5% e 1% de probabilidade, respectivamente; </w:t>
      </w:r>
      <w:proofErr w:type="spellStart"/>
      <w:r w:rsidRPr="003375EB">
        <w:rPr>
          <w:rFonts w:ascii="Times New Roman" w:eastAsia="Calibri" w:hAnsi="Times New Roman" w:cs="Times New Roman"/>
          <w:sz w:val="18"/>
          <w:szCs w:val="18"/>
        </w:rPr>
        <w:t>ns</w:t>
      </w:r>
      <w:proofErr w:type="spellEnd"/>
      <w:r w:rsidRPr="003375EB">
        <w:rPr>
          <w:rFonts w:ascii="Times New Roman" w:eastAsia="Calibri" w:hAnsi="Times New Roman" w:cs="Times New Roman"/>
          <w:sz w:val="18"/>
          <w:szCs w:val="18"/>
        </w:rPr>
        <w:t xml:space="preserve"> - não significativo; CV =</w:t>
      </w:r>
      <w:r w:rsidR="00DB02A6" w:rsidRPr="003375EB">
        <w:rPr>
          <w:rFonts w:ascii="Times New Roman" w:eastAsia="Calibri" w:hAnsi="Times New Roman" w:cs="Times New Roman"/>
          <w:sz w:val="18"/>
          <w:szCs w:val="18"/>
        </w:rPr>
        <w:t xml:space="preserve"> coeficiente de variação.</w:t>
      </w:r>
    </w:p>
    <w:p w:rsidR="00361F5F" w:rsidRDefault="00361F5F" w:rsidP="00337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F5F" w:rsidRDefault="00361F5F" w:rsidP="00337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F5F" w:rsidRDefault="00361F5F" w:rsidP="00337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61F5F" w:rsidSect="003375EB">
          <w:type w:val="continuous"/>
          <w:pgSz w:w="11906" w:h="16838"/>
          <w:pgMar w:top="1701" w:right="1134" w:bottom="1560" w:left="1134" w:header="709" w:footer="709" w:gutter="0"/>
          <w:cols w:num="2" w:space="708"/>
          <w:docGrid w:linePitch="360"/>
        </w:sectPr>
      </w:pPr>
    </w:p>
    <w:p w:rsidR="003A597F" w:rsidRPr="00956D3F" w:rsidRDefault="003A597F" w:rsidP="003A5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D3F">
        <w:rPr>
          <w:rFonts w:ascii="Times New Roman" w:hAnsi="Times New Roman" w:cs="Times New Roman"/>
          <w:sz w:val="24"/>
          <w:szCs w:val="24"/>
        </w:rPr>
        <w:lastRenderedPageBreak/>
        <w:t xml:space="preserve">O valor médio encontrado para o peso da </w:t>
      </w:r>
      <w:proofErr w:type="spellStart"/>
      <w:r w:rsidRPr="00956D3F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Pr="00956D3F">
        <w:rPr>
          <w:rFonts w:ascii="Times New Roman" w:hAnsi="Times New Roman" w:cs="Times New Roman"/>
          <w:sz w:val="24"/>
          <w:szCs w:val="24"/>
        </w:rPr>
        <w:t xml:space="preserve"> foi de 11,7 g, corroborando com Lima 2010, e inferior aos de Rodrigues </w:t>
      </w:r>
      <w:proofErr w:type="spellStart"/>
      <w:proofErr w:type="gramStart"/>
      <w:r w:rsidRPr="00956D3F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956D3F">
        <w:rPr>
          <w:rFonts w:ascii="Times New Roman" w:hAnsi="Times New Roman" w:cs="Times New Roman"/>
          <w:sz w:val="24"/>
          <w:szCs w:val="24"/>
        </w:rPr>
        <w:t xml:space="preserve"> al., 2010, e para outras espécies de </w:t>
      </w:r>
      <w:proofErr w:type="spellStart"/>
      <w:r w:rsidRPr="00956D3F">
        <w:rPr>
          <w:rFonts w:ascii="Times New Roman" w:hAnsi="Times New Roman" w:cs="Times New Roman"/>
          <w:i/>
          <w:sz w:val="24"/>
          <w:szCs w:val="24"/>
        </w:rPr>
        <w:t>espondias</w:t>
      </w:r>
      <w:proofErr w:type="spellEnd"/>
      <w:r w:rsidRPr="00956D3F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Pr="00956D3F">
        <w:rPr>
          <w:rFonts w:ascii="Times New Roman" w:hAnsi="Times New Roman" w:cs="Times New Roman"/>
          <w:i/>
          <w:sz w:val="24"/>
          <w:szCs w:val="24"/>
        </w:rPr>
        <w:t>Spondias</w:t>
      </w:r>
      <w:proofErr w:type="spellEnd"/>
      <w:r w:rsidRPr="00956D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6D3F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Pr="00956D3F">
        <w:rPr>
          <w:rFonts w:ascii="Times New Roman" w:hAnsi="Times New Roman" w:cs="Times New Roman"/>
          <w:sz w:val="24"/>
          <w:szCs w:val="24"/>
        </w:rPr>
        <w:t xml:space="preserve">. (umbu-cajá), com médias de 19,03 g e 20,69 g, encontradas por Lima </w:t>
      </w:r>
      <w:proofErr w:type="spellStart"/>
      <w:proofErr w:type="gramStart"/>
      <w:r w:rsidRPr="00956D3F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956D3F">
        <w:rPr>
          <w:rFonts w:ascii="Times New Roman" w:hAnsi="Times New Roman" w:cs="Times New Roman"/>
          <w:sz w:val="24"/>
          <w:szCs w:val="24"/>
        </w:rPr>
        <w:t xml:space="preserve"> al., (2002) e Lira Júnior </w:t>
      </w:r>
      <w:proofErr w:type="spellStart"/>
      <w:r w:rsidRPr="00956D3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56D3F">
        <w:rPr>
          <w:rFonts w:ascii="Times New Roman" w:hAnsi="Times New Roman" w:cs="Times New Roman"/>
          <w:sz w:val="24"/>
          <w:szCs w:val="24"/>
        </w:rPr>
        <w:t xml:space="preserve"> al., (2005), respectivamente. </w:t>
      </w:r>
    </w:p>
    <w:p w:rsidR="00FD0B01" w:rsidRPr="003375EB" w:rsidRDefault="008A487A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D3F">
        <w:rPr>
          <w:rFonts w:ascii="Times New Roman" w:hAnsi="Times New Roman" w:cs="Times New Roman"/>
          <w:sz w:val="24"/>
          <w:szCs w:val="24"/>
        </w:rPr>
        <w:t xml:space="preserve">O menor </w:t>
      </w:r>
      <w:r w:rsidR="003C4B06" w:rsidRPr="00956D3F">
        <w:rPr>
          <w:rFonts w:ascii="Times New Roman" w:hAnsi="Times New Roman" w:cs="Times New Roman"/>
          <w:sz w:val="24"/>
          <w:szCs w:val="24"/>
        </w:rPr>
        <w:t xml:space="preserve">peso da </w:t>
      </w:r>
      <w:proofErr w:type="spellStart"/>
      <w:r w:rsidR="003C4B06" w:rsidRPr="00956D3F">
        <w:rPr>
          <w:rFonts w:ascii="Times New Roman" w:hAnsi="Times New Roman" w:cs="Times New Roman"/>
          <w:sz w:val="24"/>
          <w:szCs w:val="24"/>
        </w:rPr>
        <w:t>cajarana-umbu</w:t>
      </w:r>
      <w:proofErr w:type="spellEnd"/>
      <w:r w:rsidR="003C4B06" w:rsidRPr="00956D3F">
        <w:rPr>
          <w:rFonts w:ascii="Times New Roman" w:hAnsi="Times New Roman" w:cs="Times New Roman"/>
          <w:sz w:val="24"/>
          <w:szCs w:val="24"/>
        </w:rPr>
        <w:t xml:space="preserve">, </w:t>
      </w:r>
      <w:r w:rsidR="00093AAB" w:rsidRPr="00956D3F">
        <w:rPr>
          <w:rFonts w:ascii="Times New Roman" w:hAnsi="Times New Roman" w:cs="Times New Roman"/>
          <w:sz w:val="24"/>
          <w:szCs w:val="24"/>
        </w:rPr>
        <w:t xml:space="preserve">foi de </w:t>
      </w:r>
      <w:r w:rsidRPr="00956D3F">
        <w:rPr>
          <w:rFonts w:ascii="Times New Roman" w:hAnsi="Times New Roman" w:cs="Times New Roman"/>
          <w:sz w:val="24"/>
          <w:szCs w:val="24"/>
        </w:rPr>
        <w:t>16,7</w:t>
      </w:r>
      <w:r w:rsidR="00093AAB" w:rsidRPr="00956D3F">
        <w:rPr>
          <w:rFonts w:ascii="Times New Roman" w:hAnsi="Times New Roman" w:cs="Times New Roman"/>
          <w:sz w:val="24"/>
          <w:szCs w:val="24"/>
        </w:rPr>
        <w:t xml:space="preserve"> g para o estágio </w:t>
      </w:r>
      <w:r w:rsidRPr="00956D3F">
        <w:rPr>
          <w:rFonts w:ascii="Times New Roman" w:hAnsi="Times New Roman" w:cs="Times New Roman"/>
          <w:sz w:val="24"/>
          <w:szCs w:val="24"/>
        </w:rPr>
        <w:t>verde, ocorrendo acréscimos de 11,97%, 21,55% e 27,54%</w:t>
      </w:r>
      <w:proofErr w:type="gramStart"/>
      <w:r w:rsidRPr="00956D3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56D3F">
        <w:rPr>
          <w:rFonts w:ascii="Times New Roman" w:hAnsi="Times New Roman" w:cs="Times New Roman"/>
          <w:sz w:val="24"/>
          <w:szCs w:val="24"/>
        </w:rPr>
        <w:t xml:space="preserve"> para os estágios, de vez, maduro e pós maduro, respectivamente</w:t>
      </w:r>
      <w:r w:rsidR="00093AAB" w:rsidRPr="00956D3F">
        <w:rPr>
          <w:rFonts w:ascii="Times New Roman" w:hAnsi="Times New Roman" w:cs="Times New Roman"/>
          <w:sz w:val="24"/>
          <w:szCs w:val="24"/>
        </w:rPr>
        <w:t>.</w:t>
      </w:r>
      <w:r w:rsidR="005B1FBB" w:rsidRPr="00956D3F">
        <w:rPr>
          <w:rFonts w:ascii="Times New Roman" w:hAnsi="Times New Roman" w:cs="Times New Roman"/>
          <w:sz w:val="24"/>
          <w:szCs w:val="24"/>
        </w:rPr>
        <w:t xml:space="preserve"> Fato ocorrido provavelmente pela evolução do desenvolvimento fisiológico do fruto. Para Carvalho (1994), inúm</w:t>
      </w:r>
      <w:r w:rsidR="005B1FBB" w:rsidRPr="003375EB">
        <w:rPr>
          <w:rFonts w:ascii="Times New Roman" w:hAnsi="Times New Roman" w:cs="Times New Roman"/>
          <w:sz w:val="24"/>
          <w:szCs w:val="24"/>
        </w:rPr>
        <w:t xml:space="preserve">eros fatores podem interferir no peso médio dos frutos entre eles </w:t>
      </w:r>
      <w:r w:rsidR="005B1FBB" w:rsidRPr="003375EB">
        <w:rPr>
          <w:rFonts w:ascii="Times New Roman" w:hAnsi="Times New Roman" w:cs="Times New Roman"/>
          <w:sz w:val="24"/>
          <w:szCs w:val="24"/>
        </w:rPr>
        <w:lastRenderedPageBreak/>
        <w:t xml:space="preserve">o estágio de maturação. </w:t>
      </w:r>
      <w:r w:rsidR="00093AAB" w:rsidRPr="003375EB">
        <w:rPr>
          <w:rFonts w:ascii="Times New Roman" w:hAnsi="Times New Roman" w:cs="Times New Roman"/>
          <w:sz w:val="24"/>
          <w:szCs w:val="24"/>
        </w:rPr>
        <w:t xml:space="preserve"> </w:t>
      </w:r>
      <w:r w:rsidRPr="003375EB">
        <w:rPr>
          <w:rFonts w:ascii="Times New Roman" w:hAnsi="Times New Roman" w:cs="Times New Roman"/>
          <w:sz w:val="24"/>
          <w:szCs w:val="24"/>
        </w:rPr>
        <w:t>Através da análise de regressão, os dados referentes às avaliações de peso nos quatro estágios de maturação, apresentaram tendência linear com coeficiente de determinação (R</w:t>
      </w:r>
      <w:r w:rsidRPr="003375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375EB">
        <w:rPr>
          <w:rFonts w:ascii="Times New Roman" w:hAnsi="Times New Roman" w:cs="Times New Roman"/>
          <w:sz w:val="24"/>
          <w:szCs w:val="24"/>
        </w:rPr>
        <w:t xml:space="preserve">), igual a 0,97 (Figura 1 A). </w:t>
      </w:r>
    </w:p>
    <w:p w:rsidR="003A597F" w:rsidRDefault="008A487A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Os maior diâmetro longitudinal na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="008C55BB" w:rsidRPr="003375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55BB" w:rsidRPr="003375EB">
        <w:rPr>
          <w:rFonts w:ascii="Times New Roman" w:hAnsi="Times New Roman" w:cs="Times New Roman"/>
          <w:sz w:val="24"/>
          <w:szCs w:val="24"/>
        </w:rPr>
        <w:t>foram nos</w:t>
      </w:r>
      <w:proofErr w:type="gramEnd"/>
      <w:r w:rsidR="008C55BB" w:rsidRPr="003375EB">
        <w:rPr>
          <w:rFonts w:ascii="Times New Roman" w:hAnsi="Times New Roman" w:cs="Times New Roman"/>
          <w:sz w:val="24"/>
          <w:szCs w:val="24"/>
        </w:rPr>
        <w:t xml:space="preserve"> estágios,</w:t>
      </w:r>
      <w:r w:rsidRPr="003375EB">
        <w:rPr>
          <w:rFonts w:ascii="Times New Roman" w:hAnsi="Times New Roman" w:cs="Times New Roman"/>
          <w:sz w:val="24"/>
          <w:szCs w:val="24"/>
        </w:rPr>
        <w:t xml:space="preserve"> de v</w:t>
      </w:r>
      <w:r w:rsidR="008C55BB" w:rsidRPr="003375EB">
        <w:rPr>
          <w:rFonts w:ascii="Times New Roman" w:hAnsi="Times New Roman" w:cs="Times New Roman"/>
          <w:sz w:val="24"/>
          <w:szCs w:val="24"/>
        </w:rPr>
        <w:t>ez e pós maduro, apresentando média de 28,43</w:t>
      </w:r>
      <w:r w:rsidR="00762A4D" w:rsidRPr="003375EB">
        <w:rPr>
          <w:rFonts w:ascii="Times New Roman" w:hAnsi="Times New Roman" w:cs="Times New Roman"/>
          <w:sz w:val="24"/>
          <w:szCs w:val="24"/>
        </w:rPr>
        <w:t xml:space="preserve"> mm</w:t>
      </w:r>
      <w:r w:rsidR="008C55BB" w:rsidRPr="003375EB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="008C55BB" w:rsidRPr="003375EB">
        <w:rPr>
          <w:rFonts w:ascii="Times New Roman" w:hAnsi="Times New Roman" w:cs="Times New Roman"/>
          <w:sz w:val="24"/>
          <w:szCs w:val="24"/>
        </w:rPr>
        <w:t>cajarana-umbu</w:t>
      </w:r>
      <w:proofErr w:type="spellEnd"/>
      <w:r w:rsidR="008C55BB" w:rsidRPr="003375EB">
        <w:rPr>
          <w:rFonts w:ascii="Times New Roman" w:hAnsi="Times New Roman" w:cs="Times New Roman"/>
          <w:sz w:val="24"/>
          <w:szCs w:val="24"/>
        </w:rPr>
        <w:t>, com 35,09</w:t>
      </w:r>
      <w:r w:rsidR="00762A4D" w:rsidRPr="003375EB">
        <w:rPr>
          <w:rFonts w:ascii="Times New Roman" w:hAnsi="Times New Roman" w:cs="Times New Roman"/>
          <w:sz w:val="24"/>
          <w:szCs w:val="24"/>
        </w:rPr>
        <w:t xml:space="preserve"> mm</w:t>
      </w:r>
      <w:r w:rsidR="008C55BB" w:rsidRPr="003375EB">
        <w:rPr>
          <w:rFonts w:ascii="Times New Roman" w:hAnsi="Times New Roman" w:cs="Times New Roman"/>
          <w:sz w:val="24"/>
          <w:szCs w:val="24"/>
        </w:rPr>
        <w:t xml:space="preserve"> no estágio verde. Já no diâmetro transversal a </w:t>
      </w:r>
      <w:proofErr w:type="spellStart"/>
      <w:r w:rsidR="003A597F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="003A597F">
        <w:rPr>
          <w:rFonts w:ascii="Times New Roman" w:hAnsi="Times New Roman" w:cs="Times New Roman"/>
          <w:sz w:val="24"/>
          <w:szCs w:val="24"/>
        </w:rPr>
        <w:t xml:space="preserve"> comum obteve média de 26,36 mm no estágio de vez. A </w:t>
      </w:r>
      <w:proofErr w:type="spellStart"/>
      <w:r w:rsidR="003A597F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="003A597F">
        <w:rPr>
          <w:rFonts w:ascii="Times New Roman" w:hAnsi="Times New Roman" w:cs="Times New Roman"/>
          <w:sz w:val="24"/>
          <w:szCs w:val="24"/>
        </w:rPr>
        <w:t xml:space="preserve"> umbu respondeu de forma linear </w:t>
      </w:r>
      <w:r w:rsidR="00065BD3">
        <w:rPr>
          <w:rFonts w:ascii="Times New Roman" w:hAnsi="Times New Roman" w:cs="Times New Roman"/>
          <w:sz w:val="24"/>
          <w:szCs w:val="24"/>
        </w:rPr>
        <w:t xml:space="preserve">na análise de regressão </w:t>
      </w:r>
      <w:r w:rsidR="003A597F">
        <w:rPr>
          <w:rFonts w:ascii="Times New Roman" w:hAnsi="Times New Roman" w:cs="Times New Roman"/>
          <w:sz w:val="24"/>
          <w:szCs w:val="24"/>
        </w:rPr>
        <w:t xml:space="preserve">à variável de diâmetro transversal </w:t>
      </w:r>
      <w:r w:rsidR="00065BD3">
        <w:rPr>
          <w:rFonts w:ascii="Times New Roman" w:hAnsi="Times New Roman" w:cs="Times New Roman"/>
          <w:sz w:val="24"/>
          <w:szCs w:val="24"/>
        </w:rPr>
        <w:t xml:space="preserve">dentro de quatro estágios de maturação </w:t>
      </w:r>
      <w:r w:rsidR="003A597F">
        <w:rPr>
          <w:rFonts w:ascii="Times New Roman" w:hAnsi="Times New Roman" w:cs="Times New Roman"/>
          <w:sz w:val="24"/>
          <w:szCs w:val="24"/>
        </w:rPr>
        <w:t xml:space="preserve">apresentando </w:t>
      </w:r>
      <w:r w:rsidR="00065BD3">
        <w:rPr>
          <w:rFonts w:ascii="Times New Roman" w:hAnsi="Times New Roman" w:cs="Times New Roman"/>
          <w:sz w:val="24"/>
          <w:szCs w:val="24"/>
        </w:rPr>
        <w:t xml:space="preserve">um </w:t>
      </w:r>
      <w:r w:rsidR="003A597F" w:rsidRPr="003375EB">
        <w:rPr>
          <w:rFonts w:ascii="Times New Roman" w:hAnsi="Times New Roman" w:cs="Times New Roman"/>
          <w:sz w:val="24"/>
          <w:szCs w:val="24"/>
        </w:rPr>
        <w:t>coeficiente de determinação (R</w:t>
      </w:r>
      <w:r w:rsidR="003A597F" w:rsidRPr="003375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A597F" w:rsidRPr="003375EB">
        <w:rPr>
          <w:rFonts w:ascii="Times New Roman" w:hAnsi="Times New Roman" w:cs="Times New Roman"/>
          <w:sz w:val="24"/>
          <w:szCs w:val="24"/>
        </w:rPr>
        <w:t>), igual a 0,</w:t>
      </w:r>
      <w:r w:rsidR="00065BD3">
        <w:rPr>
          <w:rFonts w:ascii="Times New Roman" w:hAnsi="Times New Roman" w:cs="Times New Roman"/>
          <w:sz w:val="24"/>
          <w:szCs w:val="24"/>
        </w:rPr>
        <w:t>82.</w:t>
      </w:r>
    </w:p>
    <w:p w:rsidR="00084D10" w:rsidRDefault="00084D10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84D10" w:rsidSect="00084D10">
          <w:type w:val="continuous"/>
          <w:pgSz w:w="11906" w:h="16838"/>
          <w:pgMar w:top="1701" w:right="1134" w:bottom="1560" w:left="1134" w:header="709" w:footer="709" w:gutter="0"/>
          <w:cols w:num="2" w:space="708"/>
          <w:docGrid w:linePitch="360"/>
        </w:sectPr>
      </w:pPr>
    </w:p>
    <w:p w:rsidR="003A597F" w:rsidRDefault="003A597F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597F" w:rsidRDefault="005C5735" w:rsidP="003A5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05pt;margin-top:141.1pt;width:24.15pt;height:24.55pt;z-index:251660288;mso-width-relative:margin;mso-height-relative:margin" strokecolor="white [3212]">
            <v:textbox>
              <w:txbxContent>
                <w:p w:rsidR="002F32A2" w:rsidRPr="002F32A2" w:rsidRDefault="002F32A2">
                  <w:pPr>
                    <w:rPr>
                      <w:b/>
                      <w:sz w:val="28"/>
                      <w:szCs w:val="28"/>
                    </w:rPr>
                  </w:pPr>
                  <w:r w:rsidRPr="002F32A2"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27" type="#_x0000_t202" style="position:absolute;left:0;text-align:left;margin-left:434.95pt;margin-top:141.1pt;width:24.15pt;height:24.55pt;z-index:251661312;mso-width-relative:margin;mso-height-relative:margin" strokecolor="white [3212]">
            <v:textbox>
              <w:txbxContent>
                <w:p w:rsidR="002F32A2" w:rsidRPr="002F32A2" w:rsidRDefault="002F32A2" w:rsidP="002F32A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="003A597F" w:rsidRPr="00E3125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980217" cy="2169268"/>
            <wp:effectExtent l="19050" t="0" r="10633" b="2432"/>
            <wp:docPr id="10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3A597F" w:rsidRPr="006E321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972827" cy="2169269"/>
            <wp:effectExtent l="19050" t="0" r="18023" b="2431"/>
            <wp:docPr id="11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10B3" w:rsidRDefault="000610B3" w:rsidP="000610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b/>
          <w:sz w:val="24"/>
          <w:szCs w:val="24"/>
        </w:rPr>
        <w:t>Figura 1.</w:t>
      </w:r>
      <w:r>
        <w:rPr>
          <w:rFonts w:ascii="Times New Roman" w:hAnsi="Times New Roman" w:cs="Times New Roman"/>
          <w:sz w:val="24"/>
          <w:szCs w:val="24"/>
        </w:rPr>
        <w:t xml:space="preserve"> Peso (</w:t>
      </w:r>
      <w:r w:rsidRPr="003375EB">
        <w:rPr>
          <w:rFonts w:ascii="Times New Roman" w:hAnsi="Times New Roman" w:cs="Times New Roman"/>
          <w:sz w:val="24"/>
          <w:szCs w:val="24"/>
        </w:rPr>
        <w:t xml:space="preserve">A) e </w:t>
      </w:r>
      <w:r>
        <w:rPr>
          <w:rFonts w:ascii="Times New Roman" w:hAnsi="Times New Roman" w:cs="Times New Roman"/>
          <w:sz w:val="24"/>
          <w:szCs w:val="24"/>
        </w:rPr>
        <w:t xml:space="preserve">Diâmetro transversal </w:t>
      </w:r>
      <w:r w:rsidRPr="003375EB">
        <w:rPr>
          <w:rFonts w:ascii="Times New Roman" w:hAnsi="Times New Roman" w:cs="Times New Roman"/>
          <w:sz w:val="24"/>
          <w:szCs w:val="24"/>
        </w:rPr>
        <w:t xml:space="preserve">(B) da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cajarana-umbu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em quatro estágios de maturação.</w:t>
      </w:r>
    </w:p>
    <w:p w:rsidR="00084D10" w:rsidRDefault="00084D10" w:rsidP="003A5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0B3" w:rsidRPr="00E3125B" w:rsidRDefault="000610B3" w:rsidP="003A5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610B3" w:rsidRPr="00E3125B" w:rsidSect="003375EB">
          <w:type w:val="continuous"/>
          <w:pgSz w:w="11906" w:h="16838"/>
          <w:pgMar w:top="1701" w:right="1134" w:bottom="1560" w:left="1134" w:header="709" w:footer="709" w:gutter="0"/>
          <w:cols w:space="708"/>
          <w:docGrid w:linePitch="360"/>
        </w:sectPr>
      </w:pPr>
    </w:p>
    <w:p w:rsidR="002A6829" w:rsidRDefault="00EF6B60" w:rsidP="00A846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lastRenderedPageBreak/>
        <w:t xml:space="preserve">O </w:t>
      </w:r>
      <w:proofErr w:type="spellStart"/>
      <w:proofErr w:type="gramStart"/>
      <w:r w:rsidRPr="003375E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375EB">
        <w:rPr>
          <w:rFonts w:ascii="Times New Roman" w:hAnsi="Times New Roman" w:cs="Times New Roman"/>
          <w:sz w:val="24"/>
          <w:szCs w:val="24"/>
        </w:rPr>
        <w:t>Brix</w:t>
      </w:r>
      <w:proofErr w:type="spellEnd"/>
      <w:proofErr w:type="gramEnd"/>
      <w:r w:rsidRPr="003375EB">
        <w:rPr>
          <w:rFonts w:ascii="Times New Roman" w:hAnsi="Times New Roman" w:cs="Times New Roman"/>
          <w:sz w:val="24"/>
          <w:szCs w:val="24"/>
        </w:rPr>
        <w:t>, encontrado para ambas as varieda</w:t>
      </w:r>
      <w:r w:rsidR="00307813" w:rsidRPr="003375EB">
        <w:rPr>
          <w:rFonts w:ascii="Times New Roman" w:hAnsi="Times New Roman" w:cs="Times New Roman"/>
          <w:sz w:val="24"/>
          <w:szCs w:val="24"/>
        </w:rPr>
        <w:t>des dentro dos quatro estágios de maturação, responderam com tendência linear, com R</w:t>
      </w:r>
      <w:r w:rsidR="00307813" w:rsidRPr="003375E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307813" w:rsidRPr="003375EB">
        <w:rPr>
          <w:rFonts w:ascii="Times New Roman" w:hAnsi="Times New Roman" w:cs="Times New Roman"/>
          <w:sz w:val="24"/>
          <w:szCs w:val="24"/>
        </w:rPr>
        <w:t xml:space="preserve">iguais a 0,77 e 0,89, para </w:t>
      </w:r>
      <w:proofErr w:type="spellStart"/>
      <w:r w:rsidR="00307813" w:rsidRPr="003375EB">
        <w:rPr>
          <w:rFonts w:ascii="Times New Roman" w:hAnsi="Times New Roman" w:cs="Times New Roman"/>
          <w:sz w:val="24"/>
          <w:szCs w:val="24"/>
        </w:rPr>
        <w:lastRenderedPageBreak/>
        <w:t>cajarana</w:t>
      </w:r>
      <w:proofErr w:type="spellEnd"/>
      <w:r w:rsidR="00307813" w:rsidRPr="003375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07813" w:rsidRPr="003375EB">
        <w:rPr>
          <w:rFonts w:ascii="Times New Roman" w:hAnsi="Times New Roman" w:cs="Times New Roman"/>
          <w:sz w:val="24"/>
          <w:szCs w:val="24"/>
        </w:rPr>
        <w:t>cajarana-umbu</w:t>
      </w:r>
      <w:proofErr w:type="spellEnd"/>
      <w:r w:rsidR="00307813" w:rsidRPr="003375EB">
        <w:rPr>
          <w:rFonts w:ascii="Times New Roman" w:hAnsi="Times New Roman" w:cs="Times New Roman"/>
          <w:sz w:val="24"/>
          <w:szCs w:val="24"/>
        </w:rPr>
        <w:t>, respectivamente.</w:t>
      </w:r>
      <w:r w:rsidR="00084D10">
        <w:rPr>
          <w:rFonts w:ascii="Times New Roman" w:hAnsi="Times New Roman" w:cs="Times New Roman"/>
          <w:sz w:val="24"/>
          <w:szCs w:val="24"/>
        </w:rPr>
        <w:t xml:space="preserve"> </w:t>
      </w:r>
      <w:r w:rsidR="00307813" w:rsidRPr="003375EB">
        <w:rPr>
          <w:rFonts w:ascii="Times New Roman" w:hAnsi="Times New Roman" w:cs="Times New Roman"/>
          <w:sz w:val="24"/>
          <w:szCs w:val="24"/>
        </w:rPr>
        <w:t xml:space="preserve">(Figura </w:t>
      </w:r>
      <w:r w:rsidR="00065BD3">
        <w:rPr>
          <w:rFonts w:ascii="Times New Roman" w:hAnsi="Times New Roman" w:cs="Times New Roman"/>
          <w:sz w:val="24"/>
          <w:szCs w:val="24"/>
        </w:rPr>
        <w:t>2</w:t>
      </w:r>
      <w:r w:rsidR="00307813" w:rsidRPr="003375EB">
        <w:rPr>
          <w:rFonts w:ascii="Times New Roman" w:hAnsi="Times New Roman" w:cs="Times New Roman"/>
          <w:sz w:val="24"/>
          <w:szCs w:val="24"/>
        </w:rPr>
        <w:t>)</w:t>
      </w:r>
      <w:r w:rsidR="002A6829">
        <w:rPr>
          <w:rFonts w:ascii="Times New Roman" w:hAnsi="Times New Roman" w:cs="Times New Roman"/>
          <w:sz w:val="24"/>
          <w:szCs w:val="24"/>
        </w:rPr>
        <w:t>.</w:t>
      </w:r>
      <w:r w:rsidR="002A6829" w:rsidRPr="002A6829">
        <w:rPr>
          <w:rFonts w:ascii="Times New Roman" w:hAnsi="Times New Roman" w:cs="Times New Roman"/>
          <w:sz w:val="24"/>
          <w:szCs w:val="24"/>
        </w:rPr>
        <w:t xml:space="preserve"> </w:t>
      </w:r>
      <w:r w:rsidR="00A84623" w:rsidRPr="003375EB">
        <w:rPr>
          <w:rFonts w:ascii="Times New Roman" w:hAnsi="Times New Roman" w:cs="Times New Roman"/>
          <w:sz w:val="24"/>
          <w:szCs w:val="24"/>
        </w:rPr>
        <w:t>Os</w:t>
      </w:r>
      <w:r w:rsidR="00A84623">
        <w:rPr>
          <w:rFonts w:ascii="Times New Roman" w:hAnsi="Times New Roman" w:cs="Times New Roman"/>
          <w:sz w:val="24"/>
          <w:szCs w:val="24"/>
        </w:rPr>
        <w:t xml:space="preserve"> maiores</w:t>
      </w:r>
      <w:r w:rsidR="00A84623" w:rsidRPr="003375EB">
        <w:rPr>
          <w:rFonts w:ascii="Times New Roman" w:hAnsi="Times New Roman" w:cs="Times New Roman"/>
          <w:sz w:val="24"/>
          <w:szCs w:val="24"/>
        </w:rPr>
        <w:t xml:space="preserve"> valores encontrados foram de 13,70 e 13,88, </w:t>
      </w:r>
      <w:r w:rsidR="00A84623">
        <w:rPr>
          <w:rFonts w:ascii="Times New Roman" w:hAnsi="Times New Roman" w:cs="Times New Roman"/>
          <w:sz w:val="24"/>
          <w:szCs w:val="24"/>
        </w:rPr>
        <w:t>no estágio de maturação e</w:t>
      </w:r>
      <w:r w:rsidR="009B31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314C">
        <w:rPr>
          <w:rFonts w:ascii="Times New Roman" w:hAnsi="Times New Roman" w:cs="Times New Roman"/>
          <w:sz w:val="24"/>
          <w:szCs w:val="24"/>
        </w:rPr>
        <w:t>pós maduro</w:t>
      </w:r>
      <w:proofErr w:type="gramEnd"/>
      <w:r w:rsidR="009B314C">
        <w:rPr>
          <w:rFonts w:ascii="Times New Roman" w:hAnsi="Times New Roman" w:cs="Times New Roman"/>
          <w:sz w:val="24"/>
          <w:szCs w:val="24"/>
        </w:rPr>
        <w:t>. R</w:t>
      </w:r>
      <w:r w:rsidR="00A84623">
        <w:rPr>
          <w:rFonts w:ascii="Times New Roman" w:hAnsi="Times New Roman" w:cs="Times New Roman"/>
          <w:sz w:val="24"/>
          <w:szCs w:val="24"/>
        </w:rPr>
        <w:t xml:space="preserve">esultados </w:t>
      </w:r>
      <w:r w:rsidR="00A84623" w:rsidRPr="003375EB">
        <w:rPr>
          <w:rFonts w:ascii="Times New Roman" w:hAnsi="Times New Roman" w:cs="Times New Roman"/>
          <w:sz w:val="24"/>
          <w:szCs w:val="24"/>
        </w:rPr>
        <w:t xml:space="preserve">bem </w:t>
      </w:r>
      <w:r w:rsidR="00A84623" w:rsidRPr="003375EB">
        <w:rPr>
          <w:rFonts w:ascii="Times New Roman" w:hAnsi="Times New Roman" w:cs="Times New Roman"/>
          <w:sz w:val="24"/>
          <w:szCs w:val="24"/>
        </w:rPr>
        <w:lastRenderedPageBreak/>
        <w:t xml:space="preserve">superior aos </w:t>
      </w:r>
      <w:r w:rsidR="00A84623" w:rsidRPr="00956D3F">
        <w:rPr>
          <w:rFonts w:ascii="Times New Roman" w:hAnsi="Times New Roman" w:cs="Times New Roman"/>
          <w:sz w:val="24"/>
          <w:szCs w:val="24"/>
        </w:rPr>
        <w:t xml:space="preserve">encontrados por Lima (2010) e </w:t>
      </w:r>
      <w:proofErr w:type="spellStart"/>
      <w:r w:rsidR="00A84623" w:rsidRPr="00956D3F">
        <w:rPr>
          <w:rFonts w:ascii="Times New Roman" w:hAnsi="Times New Roman" w:cs="Times New Roman"/>
          <w:sz w:val="24"/>
          <w:szCs w:val="24"/>
        </w:rPr>
        <w:t>Canuto</w:t>
      </w:r>
      <w:proofErr w:type="spellEnd"/>
      <w:r w:rsidR="00A84623" w:rsidRPr="00956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84623" w:rsidRPr="00956D3F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A84623" w:rsidRPr="00956D3F">
        <w:rPr>
          <w:rFonts w:ascii="Times New Roman" w:hAnsi="Times New Roman" w:cs="Times New Roman"/>
          <w:sz w:val="24"/>
          <w:szCs w:val="24"/>
        </w:rPr>
        <w:t xml:space="preserve"> al.,(2010)</w:t>
      </w:r>
      <w:r w:rsidR="009B314C" w:rsidRPr="00956D3F">
        <w:rPr>
          <w:rFonts w:ascii="Times New Roman" w:hAnsi="Times New Roman" w:cs="Times New Roman"/>
          <w:sz w:val="24"/>
          <w:szCs w:val="24"/>
        </w:rPr>
        <w:t xml:space="preserve"> e compatíveis com os encontrado por Lima </w:t>
      </w:r>
      <w:proofErr w:type="spellStart"/>
      <w:r w:rsidR="009B314C" w:rsidRPr="00956D3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9B314C" w:rsidRPr="00956D3F">
        <w:rPr>
          <w:rFonts w:ascii="Times New Roman" w:hAnsi="Times New Roman" w:cs="Times New Roman"/>
          <w:sz w:val="24"/>
          <w:szCs w:val="24"/>
        </w:rPr>
        <w:t xml:space="preserve"> al., (2002)</w:t>
      </w:r>
      <w:r w:rsidR="009B314C" w:rsidRPr="00956D3F">
        <w:rPr>
          <w:rFonts w:ascii="Arial" w:hAnsi="Arial" w:cs="Arial"/>
          <w:sz w:val="24"/>
          <w:szCs w:val="24"/>
        </w:rPr>
        <w:t xml:space="preserve">, que também verificou que a medida que o fruto evoluía para o amadurecimento aumentava-se o teor de sólidos solúveis.  </w:t>
      </w:r>
      <w:r w:rsidR="00A84623" w:rsidRPr="00956D3F">
        <w:rPr>
          <w:rFonts w:ascii="Arial" w:hAnsi="Arial" w:cs="Arial"/>
          <w:sz w:val="24"/>
          <w:szCs w:val="24"/>
        </w:rPr>
        <w:t xml:space="preserve"> </w:t>
      </w:r>
      <w:r w:rsidR="002A6829" w:rsidRPr="00956D3F">
        <w:rPr>
          <w:rFonts w:ascii="Times New Roman" w:hAnsi="Times New Roman" w:cs="Times New Roman"/>
          <w:sz w:val="24"/>
          <w:szCs w:val="24"/>
        </w:rPr>
        <w:t xml:space="preserve">Na caracterização química dos frutos o teor de sólidos solúveis totais é uma medida indireta do teor de açúcares presente no fruto, tendo </w:t>
      </w:r>
      <w:r w:rsidR="002A6829" w:rsidRPr="00956D3F">
        <w:rPr>
          <w:rFonts w:ascii="Times New Roman" w:hAnsi="Times New Roman" w:cs="Times New Roman"/>
          <w:sz w:val="24"/>
          <w:szCs w:val="24"/>
        </w:rPr>
        <w:lastRenderedPageBreak/>
        <w:t xml:space="preserve">sido associados ao estágio de maturação do fruto. (SEYMOUR et. </w:t>
      </w:r>
      <w:r w:rsidR="002A6829" w:rsidRPr="00956D3F">
        <w:rPr>
          <w:rFonts w:ascii="Arial" w:hAnsi="Arial" w:cs="Arial"/>
          <w:sz w:val="24"/>
          <w:szCs w:val="24"/>
        </w:rPr>
        <w:t>al., 1993).</w:t>
      </w:r>
      <w:r w:rsidR="00307813" w:rsidRPr="00956D3F">
        <w:rPr>
          <w:rFonts w:ascii="Times New Roman" w:hAnsi="Times New Roman" w:cs="Times New Roman"/>
          <w:sz w:val="24"/>
          <w:szCs w:val="24"/>
        </w:rPr>
        <w:t xml:space="preserve"> </w:t>
      </w:r>
      <w:r w:rsidR="002A6829" w:rsidRPr="00956D3F">
        <w:rPr>
          <w:rFonts w:ascii="Times New Roman" w:hAnsi="Times New Roman" w:cs="Times New Roman"/>
          <w:sz w:val="24"/>
          <w:szCs w:val="24"/>
        </w:rPr>
        <w:t xml:space="preserve">Segundo Costa </w:t>
      </w:r>
      <w:proofErr w:type="spellStart"/>
      <w:proofErr w:type="gramStart"/>
      <w:r w:rsidR="002A6829" w:rsidRPr="00956D3F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2A6829" w:rsidRPr="00956D3F">
        <w:rPr>
          <w:rFonts w:ascii="Times New Roman" w:hAnsi="Times New Roman" w:cs="Times New Roman"/>
          <w:sz w:val="24"/>
          <w:szCs w:val="24"/>
        </w:rPr>
        <w:t xml:space="preserve"> al., (1998) estudando</w:t>
      </w:r>
      <w:r w:rsidR="002A6829">
        <w:rPr>
          <w:rFonts w:ascii="Times New Roman" w:hAnsi="Times New Roman" w:cs="Times New Roman"/>
          <w:sz w:val="24"/>
          <w:szCs w:val="24"/>
        </w:rPr>
        <w:t xml:space="preserve"> o aumento </w:t>
      </w:r>
      <w:r w:rsidR="00A84623">
        <w:rPr>
          <w:rFonts w:ascii="Times New Roman" w:hAnsi="Times New Roman" w:cs="Times New Roman"/>
          <w:sz w:val="24"/>
          <w:szCs w:val="24"/>
        </w:rPr>
        <w:t>Sólidos Solúveis n</w:t>
      </w:r>
      <w:r w:rsidR="002A6829">
        <w:rPr>
          <w:rFonts w:ascii="Times New Roman" w:hAnsi="Times New Roman" w:cs="Times New Roman"/>
          <w:sz w:val="24"/>
          <w:szCs w:val="24"/>
        </w:rPr>
        <w:t xml:space="preserve">o cajá, afirma que esse aumento está associado à hidrólise do amido durante a maturação, ocorrendo variações de 7 a 12,5% entre o estádio </w:t>
      </w:r>
      <w:r w:rsidR="00A84623">
        <w:rPr>
          <w:rFonts w:ascii="Times New Roman" w:hAnsi="Times New Roman" w:cs="Times New Roman"/>
          <w:sz w:val="24"/>
          <w:szCs w:val="24"/>
        </w:rPr>
        <w:t>fisiologicamente</w:t>
      </w:r>
      <w:r w:rsidR="002A6829">
        <w:rPr>
          <w:rFonts w:ascii="Times New Roman" w:hAnsi="Times New Roman" w:cs="Times New Roman"/>
          <w:sz w:val="24"/>
          <w:szCs w:val="24"/>
        </w:rPr>
        <w:t xml:space="preserve"> desenvolvido ao completamente maduro.</w:t>
      </w:r>
    </w:p>
    <w:p w:rsidR="00084D10" w:rsidRDefault="00084D10" w:rsidP="00A846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84D10" w:rsidSect="00084D10">
          <w:type w:val="continuous"/>
          <w:pgSz w:w="11906" w:h="16838"/>
          <w:pgMar w:top="1701" w:right="1134" w:bottom="1560" w:left="1134" w:header="709" w:footer="709" w:gutter="0"/>
          <w:cols w:num="2" w:space="708"/>
          <w:docGrid w:linePitch="360"/>
        </w:sectPr>
      </w:pPr>
    </w:p>
    <w:p w:rsidR="009B314C" w:rsidRDefault="009B314C" w:rsidP="00A846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BD3" w:rsidRDefault="00065BD3" w:rsidP="00065B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21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4454174" cy="2743200"/>
            <wp:effectExtent l="19050" t="0" r="22576" b="0"/>
            <wp:docPr id="1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10B3" w:rsidRDefault="000610B3" w:rsidP="000610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Figua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3211">
        <w:rPr>
          <w:rFonts w:ascii="Times New Roman" w:hAnsi="Times New Roman" w:cs="Times New Roman"/>
          <w:sz w:val="24"/>
          <w:szCs w:val="24"/>
        </w:rPr>
        <w:t xml:space="preserve">Teor de Sólidos Solúveis Totais (SST) </w:t>
      </w:r>
      <w:r>
        <w:rPr>
          <w:rFonts w:ascii="Times New Roman" w:hAnsi="Times New Roman" w:cs="Times New Roman"/>
          <w:sz w:val="24"/>
          <w:szCs w:val="24"/>
        </w:rPr>
        <w:t>ex</w:t>
      </w:r>
      <w:r w:rsidRPr="006E3211">
        <w:rPr>
          <w:rFonts w:ascii="Times New Roman" w:hAnsi="Times New Roman" w:cs="Times New Roman"/>
          <w:sz w:val="24"/>
          <w:szCs w:val="24"/>
        </w:rPr>
        <w:t xml:space="preserve">pressos em </w:t>
      </w:r>
      <w:proofErr w:type="spellStart"/>
      <w:proofErr w:type="gramStart"/>
      <w:r w:rsidRPr="006E321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Brix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em duas variedades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spondias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em quatro estágios de maturação.</w:t>
      </w:r>
    </w:p>
    <w:p w:rsidR="00065BD3" w:rsidRDefault="00065BD3" w:rsidP="00361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65BD3" w:rsidRDefault="00065BD3" w:rsidP="00361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4D10" w:rsidRDefault="00084D10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84D10" w:rsidSect="00361F5F">
          <w:type w:val="continuous"/>
          <w:pgSz w:w="11906" w:h="16838"/>
          <w:pgMar w:top="1701" w:right="1134" w:bottom="1560" w:left="1134" w:header="709" w:footer="709" w:gutter="0"/>
          <w:cols w:space="708"/>
          <w:docGrid w:linePitch="360"/>
        </w:sectPr>
      </w:pPr>
    </w:p>
    <w:p w:rsidR="00361F5F" w:rsidRPr="003375EB" w:rsidRDefault="00361F5F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5EB">
        <w:rPr>
          <w:rFonts w:ascii="Times New Roman" w:hAnsi="Times New Roman" w:cs="Times New Roman"/>
          <w:sz w:val="24"/>
          <w:szCs w:val="24"/>
        </w:rPr>
        <w:lastRenderedPageBreak/>
        <w:t>As maiores média encontradas</w:t>
      </w:r>
      <w:proofErr w:type="gramEnd"/>
      <w:r w:rsidRPr="003375EB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comum em percentagem do epicarpo, mesocarpo e endocarpo, foram de 24,12%, 61,08% e de 26,68%, dentro dos estágios de vez, maduro e verde, respectivamente. </w:t>
      </w:r>
    </w:p>
    <w:p w:rsidR="00361F5F" w:rsidRPr="003375EB" w:rsidRDefault="00361F5F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cajarana-umbu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apresentou resultados de forma diferente, apresentando média de 21,33 % de epicarpo dentro do estágio verde de maturação. Para a </w:t>
      </w:r>
      <w:r w:rsidRPr="003375EB">
        <w:rPr>
          <w:rFonts w:ascii="Times New Roman" w:hAnsi="Times New Roman" w:cs="Times New Roman"/>
          <w:sz w:val="24"/>
          <w:szCs w:val="24"/>
        </w:rPr>
        <w:lastRenderedPageBreak/>
        <w:t>percentagem de mesocarpo houve um acréscimo de 8,92%, sendo a menor média encontrada no estágio verde e a maior no estágio de vez. O endocarpo sofreu uma redução significativa, num valor de 48,68%, do estágio verde (25,94%) para pós-maduro (13,31%).</w:t>
      </w:r>
      <w:r w:rsidR="00E57313">
        <w:rPr>
          <w:rFonts w:ascii="Times New Roman" w:hAnsi="Times New Roman" w:cs="Times New Roman"/>
          <w:sz w:val="24"/>
          <w:szCs w:val="24"/>
        </w:rPr>
        <w:t xml:space="preserve"> Nos estádio maduro as </w:t>
      </w:r>
      <w:proofErr w:type="spellStart"/>
      <w:r w:rsidR="00E57313" w:rsidRPr="00E57313">
        <w:rPr>
          <w:rFonts w:ascii="Times New Roman" w:hAnsi="Times New Roman" w:cs="Times New Roman"/>
          <w:i/>
          <w:sz w:val="24"/>
          <w:szCs w:val="24"/>
        </w:rPr>
        <w:t>spondias</w:t>
      </w:r>
      <w:proofErr w:type="spellEnd"/>
      <w:r w:rsidR="00E57313">
        <w:rPr>
          <w:rFonts w:ascii="Times New Roman" w:hAnsi="Times New Roman" w:cs="Times New Roman"/>
          <w:sz w:val="24"/>
          <w:szCs w:val="24"/>
        </w:rPr>
        <w:t xml:space="preserve"> responderam de forma semelhante, sendo para endocarpo 19, 66 e 13, 76%, o mesocarpo </w:t>
      </w:r>
      <w:r w:rsidR="00E57313">
        <w:rPr>
          <w:rFonts w:ascii="Times New Roman" w:hAnsi="Times New Roman" w:cs="Times New Roman"/>
          <w:sz w:val="24"/>
          <w:szCs w:val="24"/>
        </w:rPr>
        <w:lastRenderedPageBreak/>
        <w:t>61,08 e 67,98</w:t>
      </w:r>
      <w:proofErr w:type="gramStart"/>
      <w:r w:rsidR="00E5731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57313">
        <w:rPr>
          <w:rFonts w:ascii="Times New Roman" w:hAnsi="Times New Roman" w:cs="Times New Roman"/>
          <w:sz w:val="24"/>
          <w:szCs w:val="24"/>
        </w:rPr>
        <w:t xml:space="preserve">%, e epicarpo 19,33 e </w:t>
      </w:r>
      <w:r w:rsidR="00E57313" w:rsidRPr="00956D3F">
        <w:rPr>
          <w:rFonts w:ascii="Times New Roman" w:hAnsi="Times New Roman" w:cs="Times New Roman"/>
          <w:sz w:val="24"/>
          <w:szCs w:val="24"/>
        </w:rPr>
        <w:t xml:space="preserve">18,34%, para </w:t>
      </w:r>
      <w:proofErr w:type="spellStart"/>
      <w:r w:rsidR="00E57313" w:rsidRPr="00956D3F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="00E57313" w:rsidRPr="00956D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57313" w:rsidRPr="00956D3F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="00E57313" w:rsidRPr="00956D3F">
        <w:rPr>
          <w:rFonts w:ascii="Times New Roman" w:hAnsi="Times New Roman" w:cs="Times New Roman"/>
          <w:sz w:val="24"/>
          <w:szCs w:val="24"/>
        </w:rPr>
        <w:t xml:space="preserve"> umbu, respectivamente. Valores estes que se aproximam aos encontrados por Silva </w:t>
      </w:r>
      <w:proofErr w:type="spellStart"/>
      <w:proofErr w:type="gramStart"/>
      <w:r w:rsidR="00E57313" w:rsidRPr="00956D3F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E57313" w:rsidRPr="00956D3F">
        <w:rPr>
          <w:rFonts w:ascii="Times New Roman" w:hAnsi="Times New Roman" w:cs="Times New Roman"/>
          <w:sz w:val="24"/>
          <w:szCs w:val="24"/>
        </w:rPr>
        <w:t xml:space="preserve"> </w:t>
      </w:r>
      <w:r w:rsidR="00E57313" w:rsidRPr="00956D3F">
        <w:rPr>
          <w:rFonts w:ascii="Times New Roman" w:hAnsi="Times New Roman" w:cs="Times New Roman"/>
          <w:sz w:val="24"/>
          <w:szCs w:val="24"/>
        </w:rPr>
        <w:lastRenderedPageBreak/>
        <w:t xml:space="preserve">al.,(2009), e aos observados por Mendes (1990) e Silva </w:t>
      </w:r>
      <w:proofErr w:type="spellStart"/>
      <w:r w:rsidR="00E57313" w:rsidRPr="00956D3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57313" w:rsidRPr="00956D3F">
        <w:rPr>
          <w:rFonts w:ascii="Times New Roman" w:hAnsi="Times New Roman" w:cs="Times New Roman"/>
          <w:sz w:val="24"/>
          <w:szCs w:val="24"/>
        </w:rPr>
        <w:t xml:space="preserve"> al., (1987), com médias de 68, 10 e 22% de</w:t>
      </w:r>
      <w:r w:rsidR="00E57313">
        <w:rPr>
          <w:rFonts w:ascii="Times New Roman" w:hAnsi="Times New Roman" w:cs="Times New Roman"/>
          <w:sz w:val="24"/>
          <w:szCs w:val="24"/>
        </w:rPr>
        <w:t xml:space="preserve"> polpa, caroço e casca respectivamente.</w:t>
      </w:r>
    </w:p>
    <w:p w:rsidR="00084D10" w:rsidRDefault="00084D10" w:rsidP="00E312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84D10" w:rsidSect="00084D10">
          <w:type w:val="continuous"/>
          <w:pgSz w:w="11906" w:h="16838"/>
          <w:pgMar w:top="1701" w:right="1134" w:bottom="1560" w:left="1134" w:header="709" w:footer="709" w:gutter="0"/>
          <w:cols w:num="2" w:space="708"/>
          <w:docGrid w:linePitch="360"/>
        </w:sectPr>
      </w:pPr>
    </w:p>
    <w:p w:rsidR="006E3211" w:rsidRDefault="00E57313" w:rsidP="00E312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5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3125B" w:rsidRDefault="006919B6" w:rsidP="006E32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9B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4572811" cy="2684834"/>
            <wp:effectExtent l="19050" t="0" r="18239" b="1216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610B3" w:rsidRDefault="000610B3" w:rsidP="000610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Figua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3211">
        <w:rPr>
          <w:rFonts w:ascii="Times New Roman" w:hAnsi="Times New Roman" w:cs="Times New Roman"/>
          <w:sz w:val="24"/>
          <w:szCs w:val="24"/>
        </w:rPr>
        <w:t xml:space="preserve">Percentagem de mesocarpo e endocarpo da </w:t>
      </w:r>
      <w:proofErr w:type="spellStart"/>
      <w:r w:rsidRPr="006E3211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Pr="006E3211">
        <w:rPr>
          <w:rFonts w:ascii="Times New Roman" w:hAnsi="Times New Roman" w:cs="Times New Roman"/>
          <w:sz w:val="24"/>
          <w:szCs w:val="24"/>
        </w:rPr>
        <w:t xml:space="preserve"> umbu em quatro estágios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211">
        <w:rPr>
          <w:rFonts w:ascii="Times New Roman" w:hAnsi="Times New Roman" w:cs="Times New Roman"/>
          <w:sz w:val="24"/>
          <w:szCs w:val="24"/>
        </w:rPr>
        <w:t>de maturação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10B3" w:rsidRDefault="000610B3" w:rsidP="006E32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25B" w:rsidRPr="003375EB" w:rsidRDefault="00E3125B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D10" w:rsidRDefault="00084D10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084D10" w:rsidSect="00361F5F">
          <w:type w:val="continuous"/>
          <w:pgSz w:w="11906" w:h="16838"/>
          <w:pgMar w:top="1701" w:right="1134" w:bottom="1560" w:left="1134" w:header="709" w:footer="709" w:gutter="0"/>
          <w:cols w:space="708"/>
          <w:docGrid w:linePitch="360"/>
        </w:sectPr>
      </w:pPr>
    </w:p>
    <w:p w:rsidR="00351FC1" w:rsidRDefault="009916BD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EB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5E4D64">
        <w:rPr>
          <w:rFonts w:ascii="Times New Roman" w:hAnsi="Times New Roman" w:cs="Times New Roman"/>
          <w:b/>
          <w:sz w:val="24"/>
          <w:szCs w:val="24"/>
        </w:rPr>
        <w:t>ONCLUSÕES</w:t>
      </w:r>
    </w:p>
    <w:p w:rsidR="00084D10" w:rsidRPr="003375EB" w:rsidRDefault="00084D10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6BD" w:rsidRPr="003375EB" w:rsidRDefault="009916BD" w:rsidP="00804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apresenta boas </w:t>
      </w:r>
      <w:proofErr w:type="gramStart"/>
      <w:r w:rsidRPr="003375EB">
        <w:rPr>
          <w:rFonts w:ascii="Times New Roman" w:hAnsi="Times New Roman" w:cs="Times New Roman"/>
          <w:sz w:val="24"/>
          <w:szCs w:val="24"/>
        </w:rPr>
        <w:t xml:space="preserve">características físicas e sólidos solúveis totais para </w:t>
      </w:r>
      <w:r w:rsidR="00361F5F">
        <w:rPr>
          <w:rFonts w:ascii="Times New Roman" w:hAnsi="Times New Roman" w:cs="Times New Roman"/>
          <w:sz w:val="24"/>
          <w:szCs w:val="24"/>
        </w:rPr>
        <w:t>fins de produção industrial</w:t>
      </w:r>
      <w:proofErr w:type="gramEnd"/>
      <w:r w:rsidRPr="003375EB">
        <w:rPr>
          <w:rFonts w:ascii="Times New Roman" w:hAnsi="Times New Roman" w:cs="Times New Roman"/>
          <w:sz w:val="24"/>
          <w:szCs w:val="24"/>
        </w:rPr>
        <w:t>.</w:t>
      </w:r>
      <w:r w:rsidR="008040C2">
        <w:rPr>
          <w:rFonts w:ascii="Times New Roman" w:hAnsi="Times New Roman" w:cs="Times New Roman"/>
          <w:sz w:val="24"/>
          <w:szCs w:val="24"/>
        </w:rPr>
        <w:t xml:space="preserve"> </w:t>
      </w:r>
      <w:r w:rsidRPr="003375E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cajarana-umbu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apresenta-se em melhores condições para consumo </w:t>
      </w:r>
      <w:r w:rsidRPr="003375EB">
        <w:rPr>
          <w:rFonts w:ascii="Times New Roman" w:hAnsi="Times New Roman" w:cs="Times New Roman"/>
          <w:i/>
          <w:sz w:val="24"/>
          <w:szCs w:val="24"/>
        </w:rPr>
        <w:t>in natura</w:t>
      </w:r>
      <w:r w:rsidRPr="003375EB">
        <w:rPr>
          <w:rFonts w:ascii="Times New Roman" w:hAnsi="Times New Roman" w:cs="Times New Roman"/>
          <w:sz w:val="24"/>
          <w:szCs w:val="24"/>
        </w:rPr>
        <w:t xml:space="preserve"> e/ou para fins de comercialização ou para produção industrial no estágio maduro.</w:t>
      </w:r>
    </w:p>
    <w:p w:rsidR="009916BD" w:rsidRPr="003375EB" w:rsidRDefault="009916BD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2A4D" w:rsidRDefault="005E4D64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762A4D" w:rsidRDefault="00762A4D" w:rsidP="00084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>CANUTO, G. A. B.; XAVIER, A. A. O</w:t>
      </w:r>
      <w:proofErr w:type="gramStart"/>
      <w:r w:rsidRPr="003375EB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3375EB">
        <w:rPr>
          <w:rFonts w:ascii="Times New Roman" w:hAnsi="Times New Roman" w:cs="Times New Roman"/>
          <w:sz w:val="24"/>
          <w:szCs w:val="24"/>
        </w:rPr>
        <w:t xml:space="preserve"> NEVES, L. C.; BENASSI, M. de T. </w:t>
      </w:r>
      <w:proofErr w:type="spellStart"/>
      <w:r w:rsidRPr="003375EB">
        <w:rPr>
          <w:rFonts w:ascii="Times New Roman" w:hAnsi="Times New Roman" w:cs="Times New Roman"/>
          <w:b/>
          <w:sz w:val="24"/>
          <w:szCs w:val="24"/>
        </w:rPr>
        <w:lastRenderedPageBreak/>
        <w:t>Carcaterização</w:t>
      </w:r>
      <w:proofErr w:type="spellEnd"/>
      <w:r w:rsidRPr="003375EB">
        <w:rPr>
          <w:rFonts w:ascii="Times New Roman" w:hAnsi="Times New Roman" w:cs="Times New Roman"/>
          <w:b/>
          <w:sz w:val="24"/>
          <w:szCs w:val="24"/>
        </w:rPr>
        <w:t xml:space="preserve"> físico-química de polpas de frutos da Amazônia e sua correlação com a atividade anti-radical livre</w:t>
      </w:r>
      <w:r w:rsidRPr="003375EB">
        <w:rPr>
          <w:rFonts w:ascii="Times New Roman" w:hAnsi="Times New Roman" w:cs="Times New Roman"/>
          <w:sz w:val="24"/>
          <w:szCs w:val="24"/>
        </w:rPr>
        <w:t xml:space="preserve">. Revista Brasileira de </w:t>
      </w:r>
      <w:r w:rsidR="009B314C">
        <w:rPr>
          <w:rFonts w:ascii="Times New Roman" w:hAnsi="Times New Roman" w:cs="Times New Roman"/>
          <w:sz w:val="24"/>
          <w:szCs w:val="24"/>
        </w:rPr>
        <w:t>Fruticultura, Jaboticabal - SP,</w:t>
      </w:r>
      <w:r w:rsidRPr="003375EB">
        <w:rPr>
          <w:rFonts w:ascii="Times New Roman" w:hAnsi="Times New Roman" w:cs="Times New Roman"/>
          <w:sz w:val="24"/>
          <w:szCs w:val="24"/>
        </w:rPr>
        <w:t xml:space="preserve"> v. 32, n. 4, p.1196-1205, Dezembro 2010. </w:t>
      </w:r>
    </w:p>
    <w:p w:rsidR="00084D10" w:rsidRPr="003375EB" w:rsidRDefault="00084D10" w:rsidP="00084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FBB" w:rsidRDefault="005B1FBB" w:rsidP="00084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CARVALHO, V. D. </w:t>
      </w:r>
      <w:r w:rsidR="00DB02A6" w:rsidRPr="003375EB">
        <w:rPr>
          <w:rFonts w:ascii="Times New Roman" w:hAnsi="Times New Roman" w:cs="Times New Roman"/>
          <w:sz w:val="24"/>
          <w:szCs w:val="24"/>
        </w:rPr>
        <w:t>Qualidade e conservação pós-</w:t>
      </w:r>
      <w:r w:rsidRPr="003375EB">
        <w:rPr>
          <w:rFonts w:ascii="Times New Roman" w:hAnsi="Times New Roman" w:cs="Times New Roman"/>
          <w:sz w:val="24"/>
          <w:szCs w:val="24"/>
        </w:rPr>
        <w:t xml:space="preserve">colheita de goiabas. </w:t>
      </w:r>
      <w:r w:rsidRPr="003375EB">
        <w:rPr>
          <w:rFonts w:ascii="Times New Roman" w:hAnsi="Times New Roman" w:cs="Times New Roman"/>
          <w:b/>
          <w:sz w:val="24"/>
          <w:szCs w:val="24"/>
        </w:rPr>
        <w:t>Informe Agropecuário</w:t>
      </w:r>
      <w:r w:rsidRPr="003375EB">
        <w:rPr>
          <w:rFonts w:ascii="Times New Roman" w:hAnsi="Times New Roman" w:cs="Times New Roman"/>
          <w:sz w:val="24"/>
          <w:szCs w:val="24"/>
        </w:rPr>
        <w:t xml:space="preserve">. Belo Horizonte. </w:t>
      </w:r>
      <w:proofErr w:type="gramStart"/>
      <w:r w:rsidR="00DB02A6" w:rsidRPr="003375EB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="00DB02A6" w:rsidRPr="003375EB">
        <w:rPr>
          <w:rFonts w:ascii="Times New Roman" w:hAnsi="Times New Roman" w:cs="Times New Roman"/>
          <w:sz w:val="24"/>
          <w:szCs w:val="24"/>
        </w:rPr>
        <w:t>17,</w:t>
      </w:r>
      <w:r w:rsidRPr="003375EB">
        <w:rPr>
          <w:rFonts w:ascii="Times New Roman" w:hAnsi="Times New Roman" w:cs="Times New Roman"/>
          <w:sz w:val="24"/>
          <w:szCs w:val="24"/>
        </w:rPr>
        <w:t xml:space="preserve"> </w:t>
      </w:r>
      <w:r w:rsidR="00DB02A6" w:rsidRPr="003375EB">
        <w:rPr>
          <w:rFonts w:ascii="Times New Roman" w:hAnsi="Times New Roman" w:cs="Times New Roman"/>
          <w:sz w:val="24"/>
          <w:szCs w:val="24"/>
        </w:rPr>
        <w:t>n.179, ago. 1994.</w:t>
      </w:r>
    </w:p>
    <w:p w:rsidR="00084D10" w:rsidRDefault="00084D10" w:rsidP="00084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623" w:rsidRDefault="00A84623" w:rsidP="00084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623">
        <w:rPr>
          <w:rFonts w:ascii="Times New Roman" w:hAnsi="Times New Roman" w:cs="Times New Roman"/>
          <w:sz w:val="24"/>
          <w:szCs w:val="24"/>
        </w:rPr>
        <w:t xml:space="preserve">COSTA, N. </w:t>
      </w:r>
      <w:proofErr w:type="gramStart"/>
      <w:r w:rsidRPr="00A84623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A84623">
        <w:rPr>
          <w:rFonts w:ascii="Times New Roman" w:hAnsi="Times New Roman" w:cs="Times New Roman"/>
          <w:sz w:val="24"/>
          <w:szCs w:val="24"/>
        </w:rPr>
        <w:t xml:space="preserve"> FILGUEIRAS, H. A. C. ; ALVES, R. E. ; SILVA, A. Q. </w:t>
      </w:r>
      <w:proofErr w:type="gramStart"/>
      <w:r w:rsidRPr="00A84623">
        <w:rPr>
          <w:rFonts w:ascii="Times New Roman" w:hAnsi="Times New Roman" w:cs="Times New Roman"/>
          <w:sz w:val="24"/>
          <w:szCs w:val="24"/>
        </w:rPr>
        <w:t>da ;</w:t>
      </w:r>
      <w:proofErr w:type="gramEnd"/>
      <w:r w:rsidRPr="00A84623">
        <w:rPr>
          <w:rFonts w:ascii="Times New Roman" w:hAnsi="Times New Roman" w:cs="Times New Roman"/>
          <w:sz w:val="24"/>
          <w:szCs w:val="24"/>
        </w:rPr>
        <w:t xml:space="preserve"> </w:t>
      </w:r>
      <w:r w:rsidRPr="00A84623">
        <w:rPr>
          <w:rFonts w:ascii="Times New Roman" w:hAnsi="Times New Roman" w:cs="Times New Roman"/>
          <w:sz w:val="24"/>
          <w:szCs w:val="24"/>
        </w:rPr>
        <w:lastRenderedPageBreak/>
        <w:t xml:space="preserve">OLIVEIRA, A. C. de . </w:t>
      </w:r>
      <w:r w:rsidRPr="00A84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Development and maturation of yellow </w:t>
      </w:r>
      <w:proofErr w:type="spellStart"/>
      <w:r w:rsidRPr="00A84623">
        <w:rPr>
          <w:rFonts w:ascii="Times New Roman" w:hAnsi="Times New Roman" w:cs="Times New Roman"/>
          <w:b/>
          <w:sz w:val="24"/>
          <w:szCs w:val="24"/>
          <w:lang w:val="en-US"/>
        </w:rPr>
        <w:t>mombin</w:t>
      </w:r>
      <w:proofErr w:type="spellEnd"/>
      <w:r w:rsidRPr="00A84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A84623">
        <w:rPr>
          <w:rFonts w:ascii="Times New Roman" w:hAnsi="Times New Roman" w:cs="Times New Roman"/>
          <w:b/>
          <w:sz w:val="24"/>
          <w:szCs w:val="24"/>
          <w:lang w:val="en-US"/>
        </w:rPr>
        <w:t>Spondias</w:t>
      </w:r>
      <w:proofErr w:type="spellEnd"/>
      <w:r w:rsidRPr="00A84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84623">
        <w:rPr>
          <w:rFonts w:ascii="Times New Roman" w:hAnsi="Times New Roman" w:cs="Times New Roman"/>
          <w:b/>
          <w:sz w:val="24"/>
          <w:szCs w:val="24"/>
          <w:lang w:val="en-US"/>
        </w:rPr>
        <w:t>mombin</w:t>
      </w:r>
      <w:proofErr w:type="spellEnd"/>
      <w:r w:rsidRPr="00A846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L.) in </w:t>
      </w:r>
      <w:proofErr w:type="gramStart"/>
      <w:r w:rsidRPr="00A84623">
        <w:rPr>
          <w:rFonts w:ascii="Times New Roman" w:hAnsi="Times New Roman" w:cs="Times New Roman"/>
          <w:b/>
          <w:sz w:val="24"/>
          <w:szCs w:val="24"/>
          <w:lang w:val="en-US"/>
        </w:rPr>
        <w:t>northeast  Brazil</w:t>
      </w:r>
      <w:proofErr w:type="gramEnd"/>
      <w:r w:rsidRPr="00A84623">
        <w:rPr>
          <w:rFonts w:ascii="Times New Roman" w:hAnsi="Times New Roman" w:cs="Times New Roman"/>
          <w:sz w:val="24"/>
          <w:szCs w:val="24"/>
          <w:lang w:val="en-US"/>
        </w:rPr>
        <w:t xml:space="preserve">.  Proceedings </w:t>
      </w:r>
      <w:proofErr w:type="gramStart"/>
      <w:r w:rsidRPr="00A84623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A8462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A84623">
        <w:rPr>
          <w:rFonts w:ascii="Times New Roman" w:hAnsi="Times New Roman" w:cs="Times New Roman"/>
          <w:sz w:val="24"/>
          <w:szCs w:val="24"/>
          <w:lang w:val="en-US"/>
        </w:rPr>
        <w:t>Interamerican</w:t>
      </w:r>
      <w:proofErr w:type="spellEnd"/>
      <w:r w:rsidRPr="00A84623">
        <w:rPr>
          <w:rFonts w:ascii="Times New Roman" w:hAnsi="Times New Roman" w:cs="Times New Roman"/>
          <w:sz w:val="24"/>
          <w:szCs w:val="24"/>
          <w:lang w:val="en-US"/>
        </w:rPr>
        <w:t xml:space="preserve"> Society For Tropical Horticulture, v. 42, p. 301-306, 1998.</w:t>
      </w:r>
    </w:p>
    <w:p w:rsidR="00084D10" w:rsidRDefault="00084D10" w:rsidP="00084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612A" w:rsidRDefault="006C612A" w:rsidP="00084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COSTA, N. P. </w:t>
      </w:r>
      <w:proofErr w:type="gramStart"/>
      <w:r w:rsidRPr="003375EB">
        <w:rPr>
          <w:rFonts w:ascii="Times New Roman" w:hAnsi="Times New Roman" w:cs="Times New Roman"/>
          <w:sz w:val="24"/>
          <w:szCs w:val="24"/>
        </w:rPr>
        <w:t>da;</w:t>
      </w:r>
      <w:proofErr w:type="gramEnd"/>
      <w:r w:rsidRPr="003375EB">
        <w:rPr>
          <w:rFonts w:ascii="Times New Roman" w:hAnsi="Times New Roman" w:cs="Times New Roman"/>
          <w:sz w:val="24"/>
          <w:szCs w:val="24"/>
        </w:rPr>
        <w:t xml:space="preserve"> LUZ, T. L. B.; GONÇALVES, E. P.; BRUNO, </w:t>
      </w:r>
      <w:proofErr w:type="gramStart"/>
      <w:r w:rsidRPr="003375EB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Pr="003375EB">
        <w:rPr>
          <w:rFonts w:ascii="Times New Roman" w:hAnsi="Times New Roman" w:cs="Times New Roman"/>
          <w:sz w:val="24"/>
          <w:szCs w:val="24"/>
        </w:rPr>
        <w:t xml:space="preserve"> de L. </w:t>
      </w:r>
      <w:r w:rsidRPr="003375EB">
        <w:rPr>
          <w:rFonts w:ascii="Times New Roman" w:hAnsi="Times New Roman" w:cs="Times New Roman"/>
          <w:b/>
          <w:sz w:val="24"/>
          <w:szCs w:val="24"/>
        </w:rPr>
        <w:t>Caracterização Físico-Químico de frutos de umbuzeiro (</w:t>
      </w:r>
      <w:proofErr w:type="spellStart"/>
      <w:r w:rsidRPr="003375EB">
        <w:rPr>
          <w:rFonts w:ascii="Times New Roman" w:hAnsi="Times New Roman" w:cs="Times New Roman"/>
          <w:b/>
          <w:i/>
          <w:sz w:val="24"/>
          <w:szCs w:val="24"/>
        </w:rPr>
        <w:t>Spondias</w:t>
      </w:r>
      <w:proofErr w:type="spellEnd"/>
      <w:r w:rsidRPr="003375EB">
        <w:rPr>
          <w:rFonts w:ascii="Times New Roman" w:hAnsi="Times New Roman" w:cs="Times New Roman"/>
          <w:b/>
          <w:i/>
          <w:sz w:val="24"/>
          <w:szCs w:val="24"/>
        </w:rPr>
        <w:t xml:space="preserve"> tuberosa</w:t>
      </w:r>
      <w:r w:rsidRPr="003375EB">
        <w:rPr>
          <w:rFonts w:ascii="Times New Roman" w:hAnsi="Times New Roman" w:cs="Times New Roman"/>
          <w:b/>
          <w:sz w:val="24"/>
          <w:szCs w:val="24"/>
        </w:rPr>
        <w:t xml:space="preserve"> ARR.CAM.), colhidos em quatro estádios de maturação</w:t>
      </w:r>
      <w:r w:rsidRPr="003375EB">
        <w:rPr>
          <w:rFonts w:ascii="Times New Roman" w:hAnsi="Times New Roman" w:cs="Times New Roman"/>
          <w:sz w:val="24"/>
          <w:szCs w:val="24"/>
        </w:rPr>
        <w:t xml:space="preserve">. Revista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Biosci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. J. Uberlândia, v.20, n.2, p.65-71,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Aug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>. 2004.</w:t>
      </w:r>
    </w:p>
    <w:p w:rsidR="00084D10" w:rsidRDefault="00084D10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1095" w:rsidRDefault="00B51095" w:rsidP="00084D10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5EB">
        <w:rPr>
          <w:rFonts w:ascii="Times New Roman" w:eastAsia="Calibri" w:hAnsi="Times New Roman" w:cs="Times New Roman"/>
          <w:sz w:val="24"/>
          <w:szCs w:val="24"/>
        </w:rPr>
        <w:t xml:space="preserve">FERREIRA, </w:t>
      </w:r>
      <w:proofErr w:type="spellStart"/>
      <w:r w:rsidRPr="003375EB">
        <w:rPr>
          <w:rFonts w:ascii="Times New Roman" w:eastAsia="Calibri" w:hAnsi="Times New Roman" w:cs="Times New Roman"/>
          <w:sz w:val="24"/>
          <w:szCs w:val="24"/>
        </w:rPr>
        <w:t>P.V.</w:t>
      </w:r>
      <w:proofErr w:type="spellEnd"/>
      <w:r w:rsidRPr="00337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75EB">
        <w:rPr>
          <w:rFonts w:ascii="Times New Roman" w:eastAsia="Calibri" w:hAnsi="Times New Roman" w:cs="Times New Roman"/>
          <w:b/>
          <w:sz w:val="24"/>
          <w:szCs w:val="24"/>
        </w:rPr>
        <w:t xml:space="preserve">Estatística aplicada </w:t>
      </w:r>
      <w:proofErr w:type="gramStart"/>
      <w:r w:rsidRPr="003375EB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3375EB">
        <w:rPr>
          <w:rFonts w:ascii="Times New Roman" w:eastAsia="Calibri" w:hAnsi="Times New Roman" w:cs="Times New Roman"/>
          <w:b/>
          <w:sz w:val="24"/>
          <w:szCs w:val="24"/>
        </w:rPr>
        <w:t xml:space="preserve"> agronomia</w:t>
      </w:r>
      <w:r w:rsidRPr="003375EB">
        <w:rPr>
          <w:rFonts w:ascii="Times New Roman" w:eastAsia="Calibri" w:hAnsi="Times New Roman" w:cs="Times New Roman"/>
          <w:sz w:val="24"/>
          <w:szCs w:val="24"/>
        </w:rPr>
        <w:t>. 3ed. Maceió: EDUFAL, 2000. 422p.</w:t>
      </w:r>
    </w:p>
    <w:p w:rsidR="00084D10" w:rsidRPr="003375EB" w:rsidRDefault="00084D10" w:rsidP="00084D10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DF7" w:rsidRDefault="00844DF7" w:rsidP="00084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GIACOMETTI, D.C. </w:t>
      </w:r>
      <w:r w:rsidRPr="003375EB">
        <w:rPr>
          <w:rFonts w:ascii="Times New Roman" w:hAnsi="Times New Roman" w:cs="Times New Roman"/>
          <w:b/>
          <w:bCs/>
          <w:sz w:val="24"/>
          <w:szCs w:val="24"/>
        </w:rPr>
        <w:t>Recursos genéticos de frutíferas nativas do Brasil</w:t>
      </w:r>
      <w:r w:rsidRPr="003375EB">
        <w:rPr>
          <w:rFonts w:ascii="Times New Roman" w:hAnsi="Times New Roman" w:cs="Times New Roman"/>
          <w:sz w:val="24"/>
          <w:szCs w:val="24"/>
        </w:rPr>
        <w:t>. In: Simpósio nacional de recursos genéticos de frutíferas nativas,</w:t>
      </w:r>
      <w:r w:rsidRPr="00337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75EB">
        <w:rPr>
          <w:rFonts w:ascii="Times New Roman" w:hAnsi="Times New Roman" w:cs="Times New Roman"/>
          <w:sz w:val="24"/>
          <w:szCs w:val="24"/>
        </w:rPr>
        <w:t xml:space="preserve">1992, Cruz das Almas: Embrapa Mandioca e Fruticultura, 1993. </w:t>
      </w:r>
      <w:proofErr w:type="gramStart"/>
      <w:r w:rsidRPr="003375EB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3375EB">
        <w:rPr>
          <w:rFonts w:ascii="Times New Roman" w:hAnsi="Times New Roman" w:cs="Times New Roman"/>
          <w:sz w:val="24"/>
          <w:szCs w:val="24"/>
        </w:rPr>
        <w:t xml:space="preserve"> 13- 27.</w:t>
      </w:r>
    </w:p>
    <w:p w:rsidR="00084D10" w:rsidRPr="003375EB" w:rsidRDefault="00084D10" w:rsidP="00084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023" w:rsidRDefault="001311D1" w:rsidP="00084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LIMA,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E.D.P.A.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; LIMA, </w:t>
      </w:r>
      <w:proofErr w:type="spellStart"/>
      <w:proofErr w:type="gramStart"/>
      <w:r w:rsidRPr="003375EB">
        <w:rPr>
          <w:rFonts w:ascii="Times New Roman" w:hAnsi="Times New Roman" w:cs="Times New Roman"/>
          <w:sz w:val="24"/>
          <w:szCs w:val="24"/>
        </w:rPr>
        <w:t>C.A.</w:t>
      </w:r>
      <w:proofErr w:type="spellEnd"/>
      <w:proofErr w:type="gramEnd"/>
      <w:r w:rsidRPr="003375EB">
        <w:rPr>
          <w:rFonts w:ascii="Times New Roman" w:hAnsi="Times New Roman" w:cs="Times New Roman"/>
          <w:sz w:val="24"/>
          <w:szCs w:val="24"/>
        </w:rPr>
        <w:t xml:space="preserve">A; ALDRIGUE,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M.L.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</w:t>
      </w:r>
      <w:r w:rsidRPr="003375EB">
        <w:rPr>
          <w:rFonts w:ascii="Times New Roman" w:hAnsi="Times New Roman" w:cs="Times New Roman"/>
          <w:i/>
          <w:iCs/>
          <w:sz w:val="24"/>
          <w:szCs w:val="24"/>
        </w:rPr>
        <w:t>al.</w:t>
      </w:r>
      <w:r w:rsidRPr="003375EB">
        <w:rPr>
          <w:rFonts w:ascii="Times New Roman" w:hAnsi="Times New Roman" w:cs="Times New Roman"/>
          <w:sz w:val="24"/>
          <w:szCs w:val="24"/>
        </w:rPr>
        <w:t xml:space="preserve"> </w:t>
      </w:r>
      <w:r w:rsidRPr="003375EB">
        <w:rPr>
          <w:rFonts w:ascii="Times New Roman" w:hAnsi="Times New Roman" w:cs="Times New Roman"/>
          <w:b/>
          <w:bCs/>
          <w:sz w:val="24"/>
          <w:szCs w:val="24"/>
        </w:rPr>
        <w:t>Caracterização física e química dos frutos da umbu-cajazeira (</w:t>
      </w:r>
      <w:proofErr w:type="spellStart"/>
      <w:r w:rsidRPr="003375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Spondias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5EB">
        <w:rPr>
          <w:rFonts w:ascii="Times New Roman" w:hAnsi="Times New Roman" w:cs="Times New Roman"/>
          <w:b/>
          <w:bCs/>
          <w:sz w:val="24"/>
          <w:szCs w:val="24"/>
        </w:rPr>
        <w:t>spp</w:t>
      </w:r>
      <w:proofErr w:type="spellEnd"/>
      <w:r w:rsidRPr="003375EB">
        <w:rPr>
          <w:rFonts w:ascii="Times New Roman" w:hAnsi="Times New Roman" w:cs="Times New Roman"/>
          <w:b/>
          <w:bCs/>
          <w:sz w:val="24"/>
          <w:szCs w:val="24"/>
        </w:rPr>
        <w:t xml:space="preserve">.) em cinco estádios de maturação, da polpa e néctar. </w:t>
      </w:r>
      <w:r w:rsidRPr="003375EB">
        <w:rPr>
          <w:rFonts w:ascii="Times New Roman" w:hAnsi="Times New Roman" w:cs="Times New Roman"/>
          <w:sz w:val="24"/>
          <w:szCs w:val="24"/>
        </w:rPr>
        <w:t>Revista Brasileira de</w:t>
      </w:r>
      <w:r w:rsidRPr="00337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75EB">
        <w:rPr>
          <w:rFonts w:ascii="Times New Roman" w:hAnsi="Times New Roman" w:cs="Times New Roman"/>
          <w:sz w:val="24"/>
          <w:szCs w:val="24"/>
        </w:rPr>
        <w:t>Fruticultura. Jaboticabal, v. 24, n. 2, p. 338-343, 2002.</w:t>
      </w:r>
    </w:p>
    <w:p w:rsidR="002F32A2" w:rsidRDefault="002F32A2" w:rsidP="00084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1D1" w:rsidRDefault="001311D1" w:rsidP="002F32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lastRenderedPageBreak/>
        <w:t xml:space="preserve">LIMA, F. S. Caracterização físico-química e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bromatológica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da polpa de </w:t>
      </w:r>
      <w:proofErr w:type="spellStart"/>
      <w:r w:rsidRPr="003375EB">
        <w:rPr>
          <w:rFonts w:ascii="Times New Roman" w:hAnsi="Times New Roman" w:cs="Times New Roman"/>
          <w:i/>
          <w:sz w:val="24"/>
          <w:szCs w:val="24"/>
        </w:rPr>
        <w:t>Spondias</w:t>
      </w:r>
      <w:proofErr w:type="spellEnd"/>
      <w:r w:rsidRPr="003375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375EB">
        <w:rPr>
          <w:rFonts w:ascii="Times New Roman" w:hAnsi="Times New Roman" w:cs="Times New Roman"/>
          <w:i/>
          <w:sz w:val="24"/>
          <w:szCs w:val="24"/>
        </w:rPr>
        <w:t>sp</w:t>
      </w:r>
      <w:proofErr w:type="spellEnd"/>
      <w:proofErr w:type="gramEnd"/>
      <w:r w:rsidRPr="003375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do sertão). </w:t>
      </w:r>
      <w:r w:rsidRPr="009B314C">
        <w:rPr>
          <w:rFonts w:ascii="Times New Roman" w:hAnsi="Times New Roman" w:cs="Times New Roman"/>
          <w:b/>
          <w:sz w:val="24"/>
          <w:szCs w:val="24"/>
        </w:rPr>
        <w:t>Dissertação</w:t>
      </w:r>
      <w:r w:rsidRPr="003375EB">
        <w:rPr>
          <w:rFonts w:ascii="Times New Roman" w:hAnsi="Times New Roman" w:cs="Times New Roman"/>
          <w:sz w:val="24"/>
          <w:szCs w:val="24"/>
        </w:rPr>
        <w:t>. Pós-Graduação em Ciências Florestais. UFCG/CSTR, Patos - PB. 2010. 64 p.</w:t>
      </w:r>
    </w:p>
    <w:p w:rsidR="00084D10" w:rsidRPr="003375EB" w:rsidRDefault="00084D10" w:rsidP="0036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023" w:rsidRDefault="00115023" w:rsidP="00084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LIRA Júnior,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J.S.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; MUSSER,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R.S.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3375EB">
        <w:rPr>
          <w:rFonts w:ascii="Times New Roman" w:hAnsi="Times New Roman" w:cs="Times New Roman"/>
          <w:sz w:val="24"/>
          <w:szCs w:val="24"/>
        </w:rPr>
        <w:t>MELO,</w:t>
      </w:r>
      <w:proofErr w:type="gramEnd"/>
      <w:r w:rsidRPr="0033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E.A.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 xml:space="preserve"> </w:t>
      </w:r>
      <w:r w:rsidRPr="003375EB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Pr="003375EB">
        <w:rPr>
          <w:rFonts w:ascii="Times New Roman" w:hAnsi="Times New Roman" w:cs="Times New Roman"/>
          <w:sz w:val="24"/>
          <w:szCs w:val="24"/>
        </w:rPr>
        <w:t xml:space="preserve">. </w:t>
      </w:r>
      <w:r w:rsidRPr="003375EB">
        <w:rPr>
          <w:rFonts w:ascii="Times New Roman" w:hAnsi="Times New Roman" w:cs="Times New Roman"/>
          <w:b/>
          <w:bCs/>
          <w:sz w:val="24"/>
          <w:szCs w:val="24"/>
        </w:rPr>
        <w:t>Caracterização</w:t>
      </w:r>
      <w:r w:rsidRPr="003375EB">
        <w:rPr>
          <w:rFonts w:ascii="Times New Roman" w:hAnsi="Times New Roman" w:cs="Times New Roman"/>
          <w:sz w:val="24"/>
          <w:szCs w:val="24"/>
        </w:rPr>
        <w:t xml:space="preserve"> </w:t>
      </w:r>
      <w:r w:rsidRPr="003375EB">
        <w:rPr>
          <w:rFonts w:ascii="Times New Roman" w:hAnsi="Times New Roman" w:cs="Times New Roman"/>
          <w:b/>
          <w:bCs/>
          <w:sz w:val="24"/>
          <w:szCs w:val="24"/>
        </w:rPr>
        <w:t>física e físico-química de frutos de</w:t>
      </w:r>
      <w:r w:rsidRPr="003375EB">
        <w:rPr>
          <w:rFonts w:ascii="Times New Roman" w:hAnsi="Times New Roman" w:cs="Times New Roman"/>
          <w:sz w:val="24"/>
          <w:szCs w:val="24"/>
        </w:rPr>
        <w:t xml:space="preserve"> </w:t>
      </w:r>
      <w:r w:rsidRPr="003375EB">
        <w:rPr>
          <w:rFonts w:ascii="Times New Roman" w:hAnsi="Times New Roman" w:cs="Times New Roman"/>
          <w:b/>
          <w:bCs/>
          <w:sz w:val="24"/>
          <w:szCs w:val="24"/>
        </w:rPr>
        <w:t>cajá-umbu (</w:t>
      </w:r>
      <w:proofErr w:type="spellStart"/>
      <w:r w:rsidRPr="003375EB">
        <w:rPr>
          <w:rFonts w:ascii="Times New Roman" w:hAnsi="Times New Roman" w:cs="Times New Roman"/>
          <w:b/>
          <w:i/>
          <w:iCs/>
          <w:sz w:val="24"/>
          <w:szCs w:val="24"/>
        </w:rPr>
        <w:t>Spondias</w:t>
      </w:r>
      <w:proofErr w:type="spellEnd"/>
      <w:r w:rsidRPr="003375E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3375EB">
        <w:rPr>
          <w:rFonts w:ascii="Times New Roman" w:hAnsi="Times New Roman" w:cs="Times New Roman"/>
          <w:b/>
          <w:sz w:val="24"/>
          <w:szCs w:val="24"/>
        </w:rPr>
        <w:t>spp</w:t>
      </w:r>
      <w:proofErr w:type="spellEnd"/>
      <w:r w:rsidRPr="003375EB">
        <w:rPr>
          <w:rFonts w:ascii="Times New Roman" w:hAnsi="Times New Roman" w:cs="Times New Roman"/>
          <w:b/>
          <w:sz w:val="24"/>
          <w:szCs w:val="24"/>
        </w:rPr>
        <w:t>.</w:t>
      </w:r>
      <w:r w:rsidRPr="003375EB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337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522" w:rsidRPr="003375EB">
        <w:rPr>
          <w:rFonts w:ascii="Times New Roman" w:hAnsi="Times New Roman" w:cs="Times New Roman"/>
          <w:bCs/>
          <w:sz w:val="24"/>
          <w:szCs w:val="24"/>
        </w:rPr>
        <w:t>Revista</w:t>
      </w:r>
      <w:r w:rsidR="00F12522" w:rsidRPr="00337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75EB">
        <w:rPr>
          <w:rFonts w:ascii="Times New Roman" w:hAnsi="Times New Roman" w:cs="Times New Roman"/>
          <w:sz w:val="24"/>
          <w:szCs w:val="24"/>
        </w:rPr>
        <w:t xml:space="preserve">Ciência de Tecnologia de Alimentos, Campinas, </w:t>
      </w:r>
      <w:r w:rsidR="00F12522" w:rsidRPr="003375EB">
        <w:rPr>
          <w:rFonts w:ascii="Times New Roman" w:hAnsi="Times New Roman" w:cs="Times New Roman"/>
          <w:sz w:val="24"/>
          <w:szCs w:val="24"/>
        </w:rPr>
        <w:t xml:space="preserve">p. </w:t>
      </w:r>
      <w:r w:rsidRPr="003375EB">
        <w:rPr>
          <w:rFonts w:ascii="Times New Roman" w:hAnsi="Times New Roman" w:cs="Times New Roman"/>
          <w:sz w:val="24"/>
          <w:szCs w:val="24"/>
        </w:rPr>
        <w:t>757-761, out.-dez. 2005.</w:t>
      </w:r>
    </w:p>
    <w:p w:rsidR="002F32A2" w:rsidRDefault="002F32A2" w:rsidP="00084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313" w:rsidRDefault="00E57313" w:rsidP="002F32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313">
        <w:rPr>
          <w:rFonts w:ascii="Times New Roman" w:hAnsi="Times New Roman" w:cs="Times New Roman"/>
          <w:sz w:val="24"/>
          <w:szCs w:val="24"/>
        </w:rPr>
        <w:t>M</w:t>
      </w:r>
      <w:r w:rsidR="00261ED5">
        <w:rPr>
          <w:rFonts w:ascii="Times New Roman" w:hAnsi="Times New Roman" w:cs="Times New Roman"/>
          <w:sz w:val="24"/>
          <w:szCs w:val="24"/>
        </w:rPr>
        <w:t xml:space="preserve">ENDES, B. V. Umbuzeiro </w:t>
      </w:r>
      <w:r w:rsidRPr="00E573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57313">
        <w:rPr>
          <w:rFonts w:ascii="Times New Roman" w:hAnsi="Times New Roman" w:cs="Times New Roman"/>
          <w:sz w:val="24"/>
          <w:szCs w:val="24"/>
        </w:rPr>
        <w:t>Spondias</w:t>
      </w:r>
      <w:proofErr w:type="spellEnd"/>
      <w:r w:rsidRPr="00E57313">
        <w:rPr>
          <w:rFonts w:ascii="Times New Roman" w:hAnsi="Times New Roman" w:cs="Times New Roman"/>
          <w:sz w:val="24"/>
          <w:szCs w:val="24"/>
        </w:rPr>
        <w:t xml:space="preserve"> tuberosa </w:t>
      </w:r>
      <w:proofErr w:type="spellStart"/>
      <w:r w:rsidRPr="00E57313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E573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7313">
        <w:rPr>
          <w:rFonts w:ascii="Times New Roman" w:hAnsi="Times New Roman" w:cs="Times New Roman"/>
          <w:sz w:val="24"/>
          <w:szCs w:val="24"/>
        </w:rPr>
        <w:t>Cam</w:t>
      </w:r>
      <w:proofErr w:type="spellEnd"/>
      <w:r w:rsidRPr="00E57313">
        <w:rPr>
          <w:rFonts w:ascii="Times New Roman" w:hAnsi="Times New Roman" w:cs="Times New Roman"/>
          <w:sz w:val="24"/>
          <w:szCs w:val="24"/>
        </w:rPr>
        <w:t xml:space="preserve">.): importante fruteira do semi-árido. Mossoró: ESAM, 1990. 66p. (ESAM. Coleção </w:t>
      </w:r>
      <w:proofErr w:type="spellStart"/>
      <w:r w:rsidRPr="00E57313">
        <w:rPr>
          <w:rFonts w:ascii="Times New Roman" w:hAnsi="Times New Roman" w:cs="Times New Roman"/>
          <w:sz w:val="24"/>
          <w:szCs w:val="24"/>
        </w:rPr>
        <w:t>Mossoroense</w:t>
      </w:r>
      <w:proofErr w:type="spellEnd"/>
      <w:r w:rsidRPr="00E57313">
        <w:rPr>
          <w:rFonts w:ascii="Times New Roman" w:hAnsi="Times New Roman" w:cs="Times New Roman"/>
          <w:sz w:val="24"/>
          <w:szCs w:val="24"/>
        </w:rPr>
        <w:t>, Série C - v. 554).</w:t>
      </w:r>
    </w:p>
    <w:p w:rsidR="00084D10" w:rsidRPr="003375EB" w:rsidRDefault="00084D10" w:rsidP="00E57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113" w:rsidRDefault="009E7113" w:rsidP="00084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5EB">
        <w:rPr>
          <w:rFonts w:ascii="Times New Roman" w:hAnsi="Times New Roman" w:cs="Times New Roman"/>
          <w:sz w:val="24"/>
          <w:szCs w:val="24"/>
        </w:rPr>
        <w:t xml:space="preserve">RODRIGUES, F. F. G.; NASCIMENTO, E. M. M.; FURTADO, C. A. N.; COSTA, J. G. M.. </w:t>
      </w:r>
      <w:r w:rsidRPr="003375EB">
        <w:rPr>
          <w:rFonts w:ascii="Times New Roman" w:hAnsi="Times New Roman" w:cs="Times New Roman"/>
          <w:b/>
          <w:sz w:val="24"/>
          <w:szCs w:val="24"/>
        </w:rPr>
        <w:t xml:space="preserve">Análise físico-química de espécies de </w:t>
      </w:r>
      <w:proofErr w:type="spellStart"/>
      <w:r w:rsidRPr="003375EB">
        <w:rPr>
          <w:rFonts w:ascii="Times New Roman" w:hAnsi="Times New Roman" w:cs="Times New Roman"/>
          <w:b/>
          <w:i/>
          <w:sz w:val="24"/>
          <w:szCs w:val="24"/>
        </w:rPr>
        <w:t>spondias</w:t>
      </w:r>
      <w:proofErr w:type="spellEnd"/>
      <w:r w:rsidRPr="003375EB">
        <w:rPr>
          <w:rFonts w:ascii="Times New Roman" w:hAnsi="Times New Roman" w:cs="Times New Roman"/>
          <w:b/>
          <w:sz w:val="24"/>
          <w:szCs w:val="24"/>
        </w:rPr>
        <w:t xml:space="preserve"> oriundas do cariri cearense</w:t>
      </w:r>
      <w:r w:rsidRPr="003375EB">
        <w:rPr>
          <w:rFonts w:ascii="Times New Roman" w:hAnsi="Times New Roman" w:cs="Times New Roman"/>
          <w:sz w:val="24"/>
          <w:szCs w:val="24"/>
        </w:rPr>
        <w:t>. Caderno de Culturas e Ciência. Ano IV - Vol. 1- Nº 2. 2010</w:t>
      </w:r>
    </w:p>
    <w:p w:rsidR="00084D10" w:rsidRPr="003375EB" w:rsidRDefault="00084D10" w:rsidP="00084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2A6" w:rsidRDefault="00DB02A6" w:rsidP="00084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0C2">
        <w:rPr>
          <w:rFonts w:ascii="Times New Roman" w:hAnsi="Times New Roman" w:cs="Times New Roman"/>
          <w:sz w:val="24"/>
          <w:szCs w:val="24"/>
          <w:lang w:val="en-US"/>
        </w:rPr>
        <w:t xml:space="preserve">SEYMOUR, G. B.; TAYLOUR, J. E.; TUCKEY, G. A. </w:t>
      </w:r>
      <w:r w:rsidRPr="008040C2">
        <w:rPr>
          <w:rFonts w:ascii="Times New Roman" w:hAnsi="Times New Roman" w:cs="Times New Roman"/>
          <w:b/>
          <w:sz w:val="24"/>
          <w:szCs w:val="24"/>
          <w:lang w:val="en-US"/>
        </w:rPr>
        <w:t>Biochemistry of fruit ripening</w:t>
      </w:r>
      <w:r w:rsidRPr="008040C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04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5EB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3375EB">
        <w:rPr>
          <w:rFonts w:ascii="Times New Roman" w:hAnsi="Times New Roman" w:cs="Times New Roman"/>
          <w:sz w:val="24"/>
          <w:szCs w:val="24"/>
        </w:rPr>
        <w:t>: Chapman e Hall, 1993, 454p.</w:t>
      </w:r>
    </w:p>
    <w:p w:rsidR="00993753" w:rsidRDefault="00E57313" w:rsidP="009937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313">
        <w:rPr>
          <w:rFonts w:ascii="Times New Roman" w:hAnsi="Times New Roman" w:cs="Times New Roman"/>
          <w:sz w:val="24"/>
          <w:szCs w:val="24"/>
        </w:rPr>
        <w:t>S</w:t>
      </w:r>
      <w:r w:rsidR="00084D10">
        <w:rPr>
          <w:rFonts w:ascii="Times New Roman" w:hAnsi="Times New Roman" w:cs="Times New Roman"/>
          <w:sz w:val="24"/>
          <w:szCs w:val="24"/>
        </w:rPr>
        <w:t>ILVA, C. M. M. S.; PIRES</w:t>
      </w:r>
      <w:r w:rsidRPr="00E57313">
        <w:rPr>
          <w:rFonts w:ascii="Times New Roman" w:hAnsi="Times New Roman" w:cs="Times New Roman"/>
          <w:sz w:val="24"/>
          <w:szCs w:val="24"/>
        </w:rPr>
        <w:t>, I. E</w:t>
      </w:r>
      <w:proofErr w:type="gramStart"/>
      <w:r w:rsidRPr="00E57313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E57313">
        <w:rPr>
          <w:rFonts w:ascii="Times New Roman" w:hAnsi="Times New Roman" w:cs="Times New Roman"/>
          <w:sz w:val="24"/>
          <w:szCs w:val="24"/>
        </w:rPr>
        <w:t xml:space="preserve"> S</w:t>
      </w:r>
      <w:r w:rsidR="00084D10">
        <w:rPr>
          <w:rFonts w:ascii="Times New Roman" w:hAnsi="Times New Roman" w:cs="Times New Roman"/>
          <w:sz w:val="24"/>
          <w:szCs w:val="24"/>
        </w:rPr>
        <w:t>ILVA</w:t>
      </w:r>
      <w:r w:rsidRPr="00E57313">
        <w:rPr>
          <w:rFonts w:ascii="Times New Roman" w:hAnsi="Times New Roman" w:cs="Times New Roman"/>
          <w:sz w:val="24"/>
          <w:szCs w:val="24"/>
        </w:rPr>
        <w:t xml:space="preserve">, H. D. </w:t>
      </w:r>
      <w:r w:rsidRPr="00993753">
        <w:rPr>
          <w:rFonts w:ascii="Times New Roman" w:hAnsi="Times New Roman" w:cs="Times New Roman"/>
          <w:b/>
          <w:sz w:val="24"/>
          <w:szCs w:val="24"/>
        </w:rPr>
        <w:t>Caracterização dos frutos do umbuzeiro</w:t>
      </w:r>
      <w:r w:rsidRPr="00E57313">
        <w:rPr>
          <w:rFonts w:ascii="Times New Roman" w:hAnsi="Times New Roman" w:cs="Times New Roman"/>
          <w:sz w:val="24"/>
          <w:szCs w:val="24"/>
        </w:rPr>
        <w:t>. Petrolina, PE: EMBRAPA-</w:t>
      </w:r>
      <w:r w:rsidRPr="00E57313">
        <w:rPr>
          <w:rFonts w:ascii="Times New Roman" w:hAnsi="Times New Roman" w:cs="Times New Roman"/>
          <w:sz w:val="24"/>
          <w:szCs w:val="24"/>
        </w:rPr>
        <w:lastRenderedPageBreak/>
        <w:t>CPATSA, 1987. 17p. (EMBRAPA-CPATSA. Boletim de Pesquisa, 34).</w:t>
      </w:r>
    </w:p>
    <w:p w:rsidR="00261ED5" w:rsidRPr="00993753" w:rsidRDefault="00261ED5" w:rsidP="009937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D10" w:rsidRDefault="00993753" w:rsidP="00261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84D10" w:rsidSect="00084D10">
          <w:type w:val="continuous"/>
          <w:pgSz w:w="11906" w:h="16838"/>
          <w:pgMar w:top="1701" w:right="1134" w:bottom="1560" w:left="1134" w:header="709" w:footer="709" w:gutter="0"/>
          <w:cols w:num="2" w:space="708"/>
          <w:docGrid w:linePitch="360"/>
        </w:sectPr>
      </w:pPr>
      <w:r w:rsidRPr="00993753">
        <w:rPr>
          <w:rFonts w:ascii="Times New Roman" w:hAnsi="Times New Roman" w:cs="Times New Roman"/>
          <w:sz w:val="24"/>
          <w:szCs w:val="24"/>
        </w:rPr>
        <w:t xml:space="preserve">SILVA, G. G.; MORAIS, P. L. </w:t>
      </w:r>
      <w:proofErr w:type="gramStart"/>
      <w:r w:rsidRPr="00993753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993753">
        <w:rPr>
          <w:rFonts w:ascii="Times New Roman" w:hAnsi="Times New Roman" w:cs="Times New Roman"/>
          <w:sz w:val="24"/>
          <w:szCs w:val="24"/>
        </w:rPr>
        <w:t>; ROCHA, R. H. C.; SANTOS, E. C</w:t>
      </w:r>
      <w:proofErr w:type="gramStart"/>
      <w:r w:rsidRPr="00993753">
        <w:rPr>
          <w:rFonts w:ascii="Times New Roman" w:hAnsi="Times New Roman" w:cs="Times New Roman"/>
          <w:sz w:val="24"/>
          <w:szCs w:val="24"/>
        </w:rPr>
        <w:t>,;</w:t>
      </w:r>
      <w:proofErr w:type="gramEnd"/>
      <w:r w:rsidRPr="00993753">
        <w:rPr>
          <w:rFonts w:ascii="Times New Roman" w:hAnsi="Times New Roman" w:cs="Times New Roman"/>
          <w:sz w:val="24"/>
          <w:szCs w:val="24"/>
        </w:rPr>
        <w:t xml:space="preserve"> SARMENTO, J. </w:t>
      </w:r>
      <w:r w:rsidRPr="00993753">
        <w:rPr>
          <w:rFonts w:ascii="Times New Roman" w:hAnsi="Times New Roman" w:cs="Times New Roman"/>
          <w:sz w:val="24"/>
          <w:szCs w:val="24"/>
        </w:rPr>
        <w:lastRenderedPageBreak/>
        <w:t xml:space="preserve">D. A. Caracterização de </w:t>
      </w:r>
      <w:proofErr w:type="spellStart"/>
      <w:r w:rsidRPr="00993753">
        <w:rPr>
          <w:rFonts w:ascii="Times New Roman" w:hAnsi="Times New Roman" w:cs="Times New Roman"/>
          <w:sz w:val="24"/>
          <w:szCs w:val="24"/>
        </w:rPr>
        <w:t>cajaranazeira</w:t>
      </w:r>
      <w:proofErr w:type="spellEnd"/>
      <w:r w:rsidRPr="00993753">
        <w:rPr>
          <w:rFonts w:ascii="Times New Roman" w:hAnsi="Times New Roman" w:cs="Times New Roman"/>
          <w:sz w:val="24"/>
          <w:szCs w:val="24"/>
        </w:rPr>
        <w:t xml:space="preserve"> em diferentes estádios de maturação. </w:t>
      </w:r>
      <w:r w:rsidRPr="00993753">
        <w:rPr>
          <w:rFonts w:ascii="Times New Roman" w:hAnsi="Times New Roman" w:cs="Times New Roman"/>
          <w:b/>
          <w:sz w:val="24"/>
          <w:szCs w:val="24"/>
        </w:rPr>
        <w:t>Revista Brasileira de Produtos Agroindustriais</w:t>
      </w:r>
      <w:r w:rsidRPr="00993753">
        <w:rPr>
          <w:rFonts w:ascii="Times New Roman" w:hAnsi="Times New Roman" w:cs="Times New Roman"/>
          <w:sz w:val="24"/>
          <w:szCs w:val="24"/>
        </w:rPr>
        <w:t xml:space="preserve">, Campina Grande, v.11, n.2, p.159-163, 2009                      </w:t>
      </w:r>
    </w:p>
    <w:p w:rsidR="008040C2" w:rsidRDefault="00993753" w:rsidP="009937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75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</w:p>
    <w:p w:rsidR="008040C2" w:rsidRDefault="008040C2" w:rsidP="009937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0C2" w:rsidRDefault="008040C2" w:rsidP="009937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0C2" w:rsidRDefault="008040C2" w:rsidP="009937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753" w:rsidRPr="00AC24AD" w:rsidRDefault="00993753" w:rsidP="009937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93753" w:rsidRPr="00AC24AD" w:rsidSect="00361F5F">
      <w:type w:val="continuous"/>
      <w:pgSz w:w="11906" w:h="16838"/>
      <w:pgMar w:top="170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B4B8B"/>
    <w:rsid w:val="000104F6"/>
    <w:rsid w:val="00021D0A"/>
    <w:rsid w:val="000260D7"/>
    <w:rsid w:val="00053CBA"/>
    <w:rsid w:val="000610B3"/>
    <w:rsid w:val="00065BD3"/>
    <w:rsid w:val="00082CA4"/>
    <w:rsid w:val="00084D10"/>
    <w:rsid w:val="00093AAB"/>
    <w:rsid w:val="000E20E1"/>
    <w:rsid w:val="000F6987"/>
    <w:rsid w:val="00115023"/>
    <w:rsid w:val="00130635"/>
    <w:rsid w:val="001311D1"/>
    <w:rsid w:val="001404A2"/>
    <w:rsid w:val="00150A88"/>
    <w:rsid w:val="001677D8"/>
    <w:rsid w:val="001B5E16"/>
    <w:rsid w:val="001F5789"/>
    <w:rsid w:val="002006D9"/>
    <w:rsid w:val="00201E53"/>
    <w:rsid w:val="0021720B"/>
    <w:rsid w:val="00233161"/>
    <w:rsid w:val="00233342"/>
    <w:rsid w:val="00256A88"/>
    <w:rsid w:val="00261ED5"/>
    <w:rsid w:val="0029013E"/>
    <w:rsid w:val="002A6829"/>
    <w:rsid w:val="002C17AA"/>
    <w:rsid w:val="002C378E"/>
    <w:rsid w:val="002F1380"/>
    <w:rsid w:val="002F32A2"/>
    <w:rsid w:val="00307813"/>
    <w:rsid w:val="003079EB"/>
    <w:rsid w:val="00316832"/>
    <w:rsid w:val="00327959"/>
    <w:rsid w:val="003375EB"/>
    <w:rsid w:val="00345BC5"/>
    <w:rsid w:val="00351FC1"/>
    <w:rsid w:val="00361F5F"/>
    <w:rsid w:val="003A597F"/>
    <w:rsid w:val="003C41B4"/>
    <w:rsid w:val="003C4B06"/>
    <w:rsid w:val="003D53EC"/>
    <w:rsid w:val="004050B6"/>
    <w:rsid w:val="004059B9"/>
    <w:rsid w:val="0042297B"/>
    <w:rsid w:val="0043376B"/>
    <w:rsid w:val="004627D2"/>
    <w:rsid w:val="00472C7F"/>
    <w:rsid w:val="00492986"/>
    <w:rsid w:val="00492A78"/>
    <w:rsid w:val="004A4EB4"/>
    <w:rsid w:val="004B59FB"/>
    <w:rsid w:val="004F5B28"/>
    <w:rsid w:val="0052733C"/>
    <w:rsid w:val="00527BFD"/>
    <w:rsid w:val="00567474"/>
    <w:rsid w:val="00584FD4"/>
    <w:rsid w:val="00590D5F"/>
    <w:rsid w:val="0059508D"/>
    <w:rsid w:val="005B1FBB"/>
    <w:rsid w:val="005C5735"/>
    <w:rsid w:val="005D0CF0"/>
    <w:rsid w:val="005E1A9A"/>
    <w:rsid w:val="005E202D"/>
    <w:rsid w:val="005E4D64"/>
    <w:rsid w:val="00624048"/>
    <w:rsid w:val="00646BC3"/>
    <w:rsid w:val="006665D3"/>
    <w:rsid w:val="006708E5"/>
    <w:rsid w:val="006909F2"/>
    <w:rsid w:val="006919B6"/>
    <w:rsid w:val="006B4B8B"/>
    <w:rsid w:val="006C612A"/>
    <w:rsid w:val="006E3211"/>
    <w:rsid w:val="006E4142"/>
    <w:rsid w:val="00736CAD"/>
    <w:rsid w:val="00743703"/>
    <w:rsid w:val="00762A4D"/>
    <w:rsid w:val="007C11F0"/>
    <w:rsid w:val="007C38DD"/>
    <w:rsid w:val="008040C2"/>
    <w:rsid w:val="008152F4"/>
    <w:rsid w:val="00830BEB"/>
    <w:rsid w:val="00841149"/>
    <w:rsid w:val="00844DF7"/>
    <w:rsid w:val="00846F99"/>
    <w:rsid w:val="00873E46"/>
    <w:rsid w:val="00875ADF"/>
    <w:rsid w:val="00881BFC"/>
    <w:rsid w:val="00883761"/>
    <w:rsid w:val="008A487A"/>
    <w:rsid w:val="008A7604"/>
    <w:rsid w:val="008C55BB"/>
    <w:rsid w:val="008F6F4A"/>
    <w:rsid w:val="00906C76"/>
    <w:rsid w:val="00956D3F"/>
    <w:rsid w:val="0097582A"/>
    <w:rsid w:val="00984DAD"/>
    <w:rsid w:val="009916BD"/>
    <w:rsid w:val="00993753"/>
    <w:rsid w:val="009B314C"/>
    <w:rsid w:val="009B4B66"/>
    <w:rsid w:val="009C7C29"/>
    <w:rsid w:val="009E1F2D"/>
    <w:rsid w:val="009E7113"/>
    <w:rsid w:val="009F02A4"/>
    <w:rsid w:val="009F05BE"/>
    <w:rsid w:val="009F393B"/>
    <w:rsid w:val="009F6221"/>
    <w:rsid w:val="00A717D7"/>
    <w:rsid w:val="00A84623"/>
    <w:rsid w:val="00AA2889"/>
    <w:rsid w:val="00AB5176"/>
    <w:rsid w:val="00AC24AD"/>
    <w:rsid w:val="00AD0581"/>
    <w:rsid w:val="00AD7422"/>
    <w:rsid w:val="00AE020D"/>
    <w:rsid w:val="00AF6D83"/>
    <w:rsid w:val="00B04871"/>
    <w:rsid w:val="00B15A07"/>
    <w:rsid w:val="00B223B8"/>
    <w:rsid w:val="00B31EDC"/>
    <w:rsid w:val="00B51095"/>
    <w:rsid w:val="00B56A0C"/>
    <w:rsid w:val="00B63D48"/>
    <w:rsid w:val="00BB11A0"/>
    <w:rsid w:val="00BB5343"/>
    <w:rsid w:val="00BC11D4"/>
    <w:rsid w:val="00BC134C"/>
    <w:rsid w:val="00BF5CD0"/>
    <w:rsid w:val="00C014D4"/>
    <w:rsid w:val="00C01E1E"/>
    <w:rsid w:val="00C37F1B"/>
    <w:rsid w:val="00C42C0E"/>
    <w:rsid w:val="00C7586F"/>
    <w:rsid w:val="00C86906"/>
    <w:rsid w:val="00CB4E8F"/>
    <w:rsid w:val="00CF3200"/>
    <w:rsid w:val="00D1020A"/>
    <w:rsid w:val="00D53C69"/>
    <w:rsid w:val="00D93F4D"/>
    <w:rsid w:val="00DA079A"/>
    <w:rsid w:val="00DA7DB6"/>
    <w:rsid w:val="00DB02A6"/>
    <w:rsid w:val="00DB1617"/>
    <w:rsid w:val="00DD318E"/>
    <w:rsid w:val="00DE037A"/>
    <w:rsid w:val="00DE1DBD"/>
    <w:rsid w:val="00DF34C0"/>
    <w:rsid w:val="00E0576C"/>
    <w:rsid w:val="00E218ED"/>
    <w:rsid w:val="00E3125B"/>
    <w:rsid w:val="00E3537E"/>
    <w:rsid w:val="00E57313"/>
    <w:rsid w:val="00E752AC"/>
    <w:rsid w:val="00EC0ACD"/>
    <w:rsid w:val="00EF6018"/>
    <w:rsid w:val="00EF6B60"/>
    <w:rsid w:val="00F01670"/>
    <w:rsid w:val="00F10F8D"/>
    <w:rsid w:val="00F12522"/>
    <w:rsid w:val="00F60F50"/>
    <w:rsid w:val="00F8619E"/>
    <w:rsid w:val="00FD0421"/>
    <w:rsid w:val="00FD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A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7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761"/>
    <w:rPr>
      <w:rFonts w:ascii="Tahoma" w:hAnsi="Tahoma" w:cs="Tahoma"/>
      <w:sz w:val="16"/>
      <w:szCs w:val="16"/>
    </w:rPr>
  </w:style>
  <w:style w:type="character" w:styleId="Hyperlink">
    <w:name w:val="Hyperlink"/>
    <w:rsid w:val="00345BC5"/>
    <w:rPr>
      <w:color w:val="000080"/>
      <w:u w:val="single"/>
    </w:rPr>
  </w:style>
  <w:style w:type="character" w:customStyle="1" w:styleId="apple-style-span">
    <w:name w:val="apple-style-span"/>
    <w:basedOn w:val="Fontepargpadro"/>
    <w:rsid w:val="00405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yvaarauj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isferreira@hotmail.com" TargetMode="External"/><Relationship Id="rId11" Type="http://schemas.openxmlformats.org/officeDocument/2006/relationships/chart" Target="charts/chart4.xml"/><Relationship Id="rId5" Type="http://schemas.openxmlformats.org/officeDocument/2006/relationships/hyperlink" Target="mailto:danilalimaraujo@hotmail.com" TargetMode="Externa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otley\Meus%20documentos\AAA%20diva%20doutorado\Cajarana\cajaran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otley\Meus%20documentos\AAA%20diva%20doutorado\Cajarana\cajaran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otley\Meus%20documentos\AAA%20diva%20doutorado\Cajarana\cajaran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otley\Meus%20documentos\AAA%20diva%20doutorado\Cajarana\cajara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>
        <c:manualLayout>
          <c:layoutTarget val="inner"/>
          <c:xMode val="edge"/>
          <c:yMode val="edge"/>
          <c:x val="0.21606279027362144"/>
          <c:y val="6.3021540546411361E-2"/>
          <c:w val="0.59014403739099663"/>
          <c:h val="0.57370689231336025"/>
        </c:manualLayout>
      </c:layout>
      <c:lineChart>
        <c:grouping val="standard"/>
        <c:ser>
          <c:idx val="1"/>
          <c:order val="0"/>
          <c:tx>
            <c:strRef>
              <c:f>Plan1!$C$11</c:f>
              <c:strCache>
                <c:ptCount val="1"/>
                <c:pt idx="0">
                  <c:v>cajarana umbu</c:v>
                </c:pt>
              </c:strCache>
            </c:strRef>
          </c:tx>
          <c:spPr>
            <a:ln w="3175">
              <a:noFill/>
              <a:prstDash val="dash"/>
            </a:ln>
          </c:spPr>
          <c:marker>
            <c:spPr>
              <a:solidFill>
                <a:schemeClr val="tx1"/>
              </a:solidFill>
              <a:ln w="3175">
                <a:noFill/>
                <a:prstDash val="dash"/>
              </a:ln>
            </c:spPr>
          </c:marker>
          <c:trendline>
            <c:spPr>
              <a:ln>
                <a:solidFill>
                  <a:sysClr val="window" lastClr="FFFFFF"/>
                </a:solidFill>
              </a:ln>
            </c:spPr>
            <c:trendlineType val="linear"/>
          </c:trendline>
          <c:trendline>
            <c:trendlineType val="linear"/>
            <c:dispRSqr val="1"/>
            <c:dispEq val="1"/>
            <c:trendlineLbl>
              <c:layout>
                <c:manualLayout>
                  <c:x val="6.7538895324516554E-2"/>
                  <c:y val="0.19241320805484324"/>
                </c:manualLayout>
              </c:layout>
              <c:numFmt formatCode="General" sourceLinked="0"/>
            </c:trendlineLbl>
          </c:trendline>
          <c:cat>
            <c:strRef>
              <c:f>Plan1!$A$12:$A$15</c:f>
              <c:strCache>
                <c:ptCount val="4"/>
                <c:pt idx="0">
                  <c:v>Verde</c:v>
                </c:pt>
                <c:pt idx="1">
                  <c:v>de vez</c:v>
                </c:pt>
                <c:pt idx="2">
                  <c:v>maturo</c:v>
                </c:pt>
                <c:pt idx="3">
                  <c:v>pós</c:v>
                </c:pt>
              </c:strCache>
            </c:strRef>
          </c:cat>
          <c:val>
            <c:numRef>
              <c:f>Plan1!$C$12:$C$15</c:f>
              <c:numCache>
                <c:formatCode>#,##0.00</c:formatCode>
                <c:ptCount val="4"/>
                <c:pt idx="0">
                  <c:v>16.7</c:v>
                </c:pt>
                <c:pt idx="1">
                  <c:v>18.7</c:v>
                </c:pt>
                <c:pt idx="2">
                  <c:v>20.3</c:v>
                </c:pt>
                <c:pt idx="3">
                  <c:v>21.3</c:v>
                </c:pt>
              </c:numCache>
            </c:numRef>
          </c:val>
        </c:ser>
        <c:marker val="1"/>
        <c:axId val="53084928"/>
        <c:axId val="53086848"/>
      </c:lineChart>
      <c:catAx>
        <c:axId val="530849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Estágios de maturação</a:t>
                </a:r>
              </a:p>
            </c:rich>
          </c:tx>
        </c:title>
        <c:tickLblPos val="nextTo"/>
        <c:crossAx val="53086848"/>
        <c:crosses val="autoZero"/>
        <c:auto val="1"/>
        <c:lblAlgn val="ctr"/>
        <c:lblOffset val="100"/>
      </c:catAx>
      <c:valAx>
        <c:axId val="53086848"/>
        <c:scaling>
          <c:orientation val="minMax"/>
          <c:min val="15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Peso (g)</a:t>
                </a:r>
              </a:p>
            </c:rich>
          </c:tx>
          <c:layout>
            <c:manualLayout>
              <c:xMode val="edge"/>
              <c:yMode val="edge"/>
              <c:x val="2.1284497645632887E-2"/>
              <c:y val="0.2393282803587439"/>
            </c:manualLayout>
          </c:layout>
        </c:title>
        <c:numFmt formatCode="#,##0.00" sourceLinked="1"/>
        <c:tickLblPos val="nextTo"/>
        <c:crossAx val="53084928"/>
        <c:crosses val="autoZero"/>
        <c:crossBetween val="between"/>
        <c:majorUnit val="2"/>
        <c:minorUnit val="0.2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6961783768274501"/>
          <c:y val="0.39285864334873083"/>
          <c:w val="0.29956472364342412"/>
          <c:h val="0.19157740231576295"/>
        </c:manualLayout>
      </c:layout>
    </c:legend>
    <c:plotVisOnly val="1"/>
  </c:chart>
  <c:txPr>
    <a:bodyPr/>
    <a:lstStyle/>
    <a:p>
      <a:pPr>
        <a:defRPr sz="900"/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>
        <c:manualLayout>
          <c:layoutTarget val="inner"/>
          <c:xMode val="edge"/>
          <c:yMode val="edge"/>
          <c:x val="0.20321037025156224"/>
          <c:y val="6.4478159590784415E-2"/>
          <c:w val="0.5938409854047535"/>
          <c:h val="0.56385396498474039"/>
        </c:manualLayout>
      </c:layout>
      <c:lineChart>
        <c:grouping val="standard"/>
        <c:ser>
          <c:idx val="0"/>
          <c:order val="0"/>
          <c:tx>
            <c:strRef>
              <c:f>Plan1!$B$34</c:f>
              <c:strCache>
                <c:ptCount val="1"/>
                <c:pt idx="0">
                  <c:v>Cajarana umbu</c:v>
                </c:pt>
              </c:strCache>
            </c:strRef>
          </c:tx>
          <c:spPr>
            <a:ln w="12700">
              <a:noFill/>
            </a:ln>
          </c:spPr>
          <c:marker>
            <c:spPr>
              <a:solidFill>
                <a:schemeClr val="tx1"/>
              </a:solidFill>
              <a:ln w="12700">
                <a:noFill/>
              </a:ln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9.7100311822930982E-2"/>
                  <c:y val="0.22009056080570033"/>
                </c:manualLayout>
              </c:layout>
              <c:numFmt formatCode="General" sourceLinked="0"/>
            </c:trendlineLbl>
          </c:trendline>
          <c:cat>
            <c:strRef>
              <c:f>Plan1!$A$35:$A$38</c:f>
              <c:strCache>
                <c:ptCount val="4"/>
                <c:pt idx="0">
                  <c:v>Verde</c:v>
                </c:pt>
                <c:pt idx="1">
                  <c:v>de vez</c:v>
                </c:pt>
                <c:pt idx="2">
                  <c:v>maturo</c:v>
                </c:pt>
                <c:pt idx="3">
                  <c:v>pós</c:v>
                </c:pt>
              </c:strCache>
            </c:strRef>
          </c:cat>
          <c:val>
            <c:numRef>
              <c:f>Plan1!$B$35:$B$38</c:f>
              <c:numCache>
                <c:formatCode>General</c:formatCode>
                <c:ptCount val="4"/>
                <c:pt idx="0">
                  <c:v>29.9</c:v>
                </c:pt>
                <c:pt idx="1">
                  <c:v>30.9</c:v>
                </c:pt>
                <c:pt idx="2">
                  <c:v>32.11</c:v>
                </c:pt>
                <c:pt idx="3">
                  <c:v>31.86</c:v>
                </c:pt>
              </c:numCache>
            </c:numRef>
          </c:val>
        </c:ser>
        <c:marker val="1"/>
        <c:axId val="18672640"/>
        <c:axId val="18834560"/>
      </c:lineChart>
      <c:catAx>
        <c:axId val="186726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Estágios</a:t>
                </a:r>
                <a:r>
                  <a:rPr lang="pt-BR" baseline="0"/>
                  <a:t> de maturação</a:t>
                </a:r>
                <a:endParaRPr lang="pt-BR"/>
              </a:p>
            </c:rich>
          </c:tx>
        </c:title>
        <c:tickLblPos val="nextTo"/>
        <c:crossAx val="18834560"/>
        <c:crosses val="autoZero"/>
        <c:auto val="1"/>
        <c:lblAlgn val="ctr"/>
        <c:lblOffset val="100"/>
      </c:catAx>
      <c:valAx>
        <c:axId val="1883456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Diâmetro</a:t>
                </a:r>
                <a:r>
                  <a:rPr lang="pt-BR" baseline="0"/>
                  <a:t> transversal (mm)</a:t>
                </a:r>
                <a:endParaRPr lang="pt-BR"/>
              </a:p>
            </c:rich>
          </c:tx>
          <c:layout>
            <c:manualLayout>
              <c:xMode val="edge"/>
              <c:yMode val="edge"/>
              <c:x val="2.1307173269597482E-2"/>
              <c:y val="6.4478159590784415E-2"/>
            </c:manualLayout>
          </c:layout>
        </c:title>
        <c:numFmt formatCode="General" sourceLinked="1"/>
        <c:tickLblPos val="nextTo"/>
        <c:crossAx val="18672640"/>
        <c:crosses val="autoZero"/>
        <c:crossBetween val="between"/>
        <c:majorUnit val="1"/>
      </c:valAx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63937827346129694"/>
          <c:y val="0.49395148567462088"/>
          <c:w val="0.33505311861518811"/>
          <c:h val="0.10501696986214668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>
        <c:manualLayout>
          <c:layoutTarget val="inner"/>
          <c:xMode val="edge"/>
          <c:yMode val="edge"/>
          <c:x val="0.17121648143965681"/>
          <c:y val="0.1365135608048994"/>
          <c:w val="0.5774502353628207"/>
          <c:h val="0.66662255759696765"/>
        </c:manualLayout>
      </c:layout>
      <c:lineChart>
        <c:grouping val="standard"/>
        <c:ser>
          <c:idx val="0"/>
          <c:order val="0"/>
          <c:tx>
            <c:strRef>
              <c:f>Plan1!$B$3</c:f>
              <c:strCache>
                <c:ptCount val="1"/>
                <c:pt idx="0">
                  <c:v>cajarana</c:v>
                </c:pt>
              </c:strCache>
            </c:strRef>
          </c:tx>
          <c:spPr>
            <a:ln w="3175">
              <a:noFill/>
            </a:ln>
          </c:spPr>
          <c:marker>
            <c:spPr>
              <a:ln w="3175">
                <a:noFill/>
              </a:ln>
            </c:spPr>
          </c:marker>
          <c:trendline>
            <c:spPr>
              <a:ln>
                <a:solidFill>
                  <a:schemeClr val="bg1"/>
                </a:solidFill>
              </a:ln>
            </c:spPr>
            <c:trendlineType val="linear"/>
            <c:dispRSqr val="1"/>
            <c:dispEq val="1"/>
            <c:trendlineLbl>
              <c:layout>
                <c:manualLayout>
                  <c:x val="0.14004703603835891"/>
                  <c:y val="0.2781400595880322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(Cajarana umbu)</a:t>
                    </a:r>
                  </a:p>
                  <a:p>
                    <a:pPr>
                      <a:defRPr/>
                    </a:pPr>
                    <a:r>
                      <a:rPr lang="en-US"/>
                      <a:t>y = 1,69x + 7,88
R² = 0,7704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linear"/>
          </c:trendline>
          <c:cat>
            <c:strRef>
              <c:f>Plan1!$A$4:$A$7</c:f>
              <c:strCache>
                <c:ptCount val="4"/>
                <c:pt idx="0">
                  <c:v>Verde</c:v>
                </c:pt>
                <c:pt idx="1">
                  <c:v>de vez</c:v>
                </c:pt>
                <c:pt idx="2">
                  <c:v>maturo</c:v>
                </c:pt>
                <c:pt idx="3">
                  <c:v>pós</c:v>
                </c:pt>
              </c:strCache>
            </c:strRef>
          </c:cat>
          <c:val>
            <c:numRef>
              <c:f>Plan1!$B$4:$B$7</c:f>
              <c:numCache>
                <c:formatCode>#,##0.00</c:formatCode>
                <c:ptCount val="4"/>
                <c:pt idx="0">
                  <c:v>8.44</c:v>
                </c:pt>
                <c:pt idx="1">
                  <c:v>12.76</c:v>
                </c:pt>
                <c:pt idx="2">
                  <c:v>13.34</c:v>
                </c:pt>
                <c:pt idx="3">
                  <c:v>13.88</c:v>
                </c:pt>
              </c:numCache>
            </c:numRef>
          </c:val>
        </c:ser>
        <c:ser>
          <c:idx val="1"/>
          <c:order val="1"/>
          <c:tx>
            <c:strRef>
              <c:f>Plan1!$C$3</c:f>
              <c:strCache>
                <c:ptCount val="1"/>
                <c:pt idx="0">
                  <c:v>cajarana umbu</c:v>
                </c:pt>
              </c:strCache>
            </c:strRef>
          </c:tx>
          <c:spPr>
            <a:ln w="3175">
              <a:noFill/>
              <a:prstDash val="dash"/>
            </a:ln>
          </c:spPr>
          <c:marker>
            <c:spPr>
              <a:ln w="3175">
                <a:noFill/>
                <a:prstDash val="dash"/>
              </a:ln>
            </c:spPr>
          </c:marker>
          <c:trendline>
            <c:spPr>
              <a:ln>
                <a:solidFill>
                  <a:schemeClr val="bg1"/>
                </a:solidFill>
              </a:ln>
            </c:spPr>
            <c:trendlineType val="linear"/>
          </c:trendline>
          <c:trendline>
            <c:trendlineType val="linear"/>
            <c:dispRSqr val="1"/>
            <c:dispEq val="1"/>
            <c:trendlineLbl>
              <c:layout>
                <c:manualLayout>
                  <c:x val="-0.21097491925551168"/>
                  <c:y val="-5.318022747156605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(cajarana) </a:t>
                    </a:r>
                  </a:p>
                  <a:p>
                    <a:pPr>
                      <a:defRPr/>
                    </a:pPr>
                    <a:r>
                      <a:rPr lang="en-US"/>
                      <a:t>y = 1,43x + 8,15
   R² = 0,8959</a:t>
                    </a:r>
                  </a:p>
                </c:rich>
              </c:tx>
              <c:numFmt formatCode="General" sourceLinked="0"/>
            </c:trendlineLbl>
          </c:trendline>
          <c:cat>
            <c:strRef>
              <c:f>Plan1!$A$4:$A$7</c:f>
              <c:strCache>
                <c:ptCount val="4"/>
                <c:pt idx="0">
                  <c:v>Verde</c:v>
                </c:pt>
                <c:pt idx="1">
                  <c:v>de vez</c:v>
                </c:pt>
                <c:pt idx="2">
                  <c:v>maturo</c:v>
                </c:pt>
                <c:pt idx="3">
                  <c:v>pós</c:v>
                </c:pt>
              </c:strCache>
            </c:strRef>
          </c:cat>
          <c:val>
            <c:numRef>
              <c:f>Plan1!$C$4:$C$7</c:f>
              <c:numCache>
                <c:formatCode>#,##0.00</c:formatCode>
                <c:ptCount val="4"/>
                <c:pt idx="0">
                  <c:v>9.0400000000000009</c:v>
                </c:pt>
                <c:pt idx="1">
                  <c:v>11.92</c:v>
                </c:pt>
                <c:pt idx="2">
                  <c:v>12.239999999999998</c:v>
                </c:pt>
                <c:pt idx="3">
                  <c:v>13.7</c:v>
                </c:pt>
              </c:numCache>
            </c:numRef>
          </c:val>
        </c:ser>
        <c:marker val="1"/>
        <c:axId val="18868480"/>
        <c:axId val="18882944"/>
      </c:lineChart>
      <c:catAx>
        <c:axId val="188684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Estágios de maturação</a:t>
                </a:r>
              </a:p>
            </c:rich>
          </c:tx>
          <c:layout>
            <c:manualLayout>
              <c:xMode val="edge"/>
              <c:yMode val="edge"/>
              <c:x val="0.30654190878039339"/>
              <c:y val="0.88947761738116071"/>
            </c:manualLayout>
          </c:layout>
        </c:title>
        <c:tickLblPos val="nextTo"/>
        <c:crossAx val="18882944"/>
        <c:crosses val="autoZero"/>
        <c:auto val="1"/>
        <c:lblAlgn val="ctr"/>
        <c:lblOffset val="100"/>
      </c:catAx>
      <c:valAx>
        <c:axId val="18882944"/>
        <c:scaling>
          <c:orientation val="minMax"/>
          <c:min val="8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 baseline="30000"/>
                  <a:t>o</a:t>
                </a:r>
                <a:r>
                  <a:rPr lang="pt-BR" baseline="0"/>
                  <a:t>Brix</a:t>
                </a:r>
                <a:endParaRPr lang="pt-BR" baseline="30000"/>
              </a:p>
            </c:rich>
          </c:tx>
          <c:layout>
            <c:manualLayout>
              <c:xMode val="edge"/>
              <c:yMode val="edge"/>
              <c:x val="1.1172217340409242E-2"/>
              <c:y val="0.40673228346456691"/>
            </c:manualLayout>
          </c:layout>
        </c:title>
        <c:numFmt formatCode="#,##0.00" sourceLinked="1"/>
        <c:tickLblPos val="nextTo"/>
        <c:crossAx val="18868480"/>
        <c:crosses val="autoZero"/>
        <c:crossBetween val="between"/>
      </c:valAx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70306198343954263"/>
          <c:y val="0.15846961689193306"/>
          <c:w val="0.29277755373944492"/>
          <c:h val="0.19157740231576295"/>
        </c:manualLayout>
      </c:layout>
    </c:legend>
    <c:plotVisOnly val="1"/>
  </c:chart>
  <c:txPr>
    <a:bodyPr/>
    <a:lstStyle/>
    <a:p>
      <a:pPr>
        <a:defRPr sz="1000"/>
      </a:pPr>
      <a:endParaRPr lang="pt-B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lineChart>
        <c:grouping val="standard"/>
        <c:ser>
          <c:idx val="0"/>
          <c:order val="0"/>
          <c:tx>
            <c:strRef>
              <c:f>Plan1!$B$49</c:f>
              <c:strCache>
                <c:ptCount val="1"/>
                <c:pt idx="0">
                  <c:v>endocarpo</c:v>
                </c:pt>
              </c:strCache>
            </c:strRef>
          </c:tx>
          <c:spPr>
            <a:ln w="12700">
              <a:noFill/>
            </a:ln>
          </c:spPr>
          <c:marker>
            <c:spPr>
              <a:solidFill>
                <a:schemeClr val="tx1"/>
              </a:solidFill>
              <a:ln w="12700">
                <a:noFill/>
              </a:ln>
            </c:spPr>
          </c:marke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5.5195975503062086E-2"/>
                  <c:y val="-9.6877369495480203E-2"/>
                </c:manualLayout>
              </c:layout>
              <c:numFmt formatCode="General" sourceLinked="0"/>
            </c:trendlineLbl>
          </c:trendline>
          <c:cat>
            <c:strRef>
              <c:f>Plan1!$A$50:$A$53</c:f>
              <c:strCache>
                <c:ptCount val="4"/>
                <c:pt idx="0">
                  <c:v>Verde</c:v>
                </c:pt>
                <c:pt idx="1">
                  <c:v>de vez</c:v>
                </c:pt>
                <c:pt idx="2">
                  <c:v>maturo</c:v>
                </c:pt>
                <c:pt idx="3">
                  <c:v>pós</c:v>
                </c:pt>
              </c:strCache>
            </c:strRef>
          </c:cat>
          <c:val>
            <c:numRef>
              <c:f>Plan1!$B$50:$B$53</c:f>
              <c:numCache>
                <c:formatCode>General</c:formatCode>
                <c:ptCount val="4"/>
                <c:pt idx="0">
                  <c:v>25.939999999999987</c:v>
                </c:pt>
                <c:pt idx="1">
                  <c:v>13.83</c:v>
                </c:pt>
                <c:pt idx="2">
                  <c:v>13.76</c:v>
                </c:pt>
                <c:pt idx="3">
                  <c:v>13.31</c:v>
                </c:pt>
              </c:numCache>
            </c:numRef>
          </c:val>
        </c:ser>
        <c:ser>
          <c:idx val="1"/>
          <c:order val="1"/>
          <c:tx>
            <c:strRef>
              <c:f>Plan1!$C$49</c:f>
              <c:strCache>
                <c:ptCount val="1"/>
                <c:pt idx="0">
                  <c:v>mesocarpo</c:v>
                </c:pt>
              </c:strCache>
            </c:strRef>
          </c:tx>
          <c:spPr>
            <a:ln w="12700">
              <a:noFill/>
            </a:ln>
          </c:spPr>
          <c:marker>
            <c:spPr>
              <a:solidFill>
                <a:schemeClr val="tx1"/>
              </a:solidFill>
              <a:ln w="12700">
                <a:noFill/>
              </a:ln>
            </c:spPr>
          </c:marke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2.2001531058617681E-2"/>
                  <c:y val="0.1406762175561389"/>
                </c:manualLayout>
              </c:layout>
              <c:numFmt formatCode="General" sourceLinked="0"/>
            </c:trendlineLbl>
          </c:trendline>
          <c:cat>
            <c:strRef>
              <c:f>Plan1!$A$50:$A$53</c:f>
              <c:strCache>
                <c:ptCount val="4"/>
                <c:pt idx="0">
                  <c:v>Verde</c:v>
                </c:pt>
                <c:pt idx="1">
                  <c:v>de vez</c:v>
                </c:pt>
                <c:pt idx="2">
                  <c:v>maturo</c:v>
                </c:pt>
                <c:pt idx="3">
                  <c:v>pós</c:v>
                </c:pt>
              </c:strCache>
            </c:strRef>
          </c:cat>
          <c:val>
            <c:numRef>
              <c:f>Plan1!$C$50:$C$53</c:f>
              <c:numCache>
                <c:formatCode>General</c:formatCode>
                <c:ptCount val="4"/>
                <c:pt idx="0">
                  <c:v>54.02</c:v>
                </c:pt>
                <c:pt idx="1">
                  <c:v>68.84</c:v>
                </c:pt>
                <c:pt idx="2">
                  <c:v>67.98</c:v>
                </c:pt>
                <c:pt idx="3">
                  <c:v>65.95</c:v>
                </c:pt>
              </c:numCache>
            </c:numRef>
          </c:val>
        </c:ser>
        <c:marker val="1"/>
        <c:axId val="53779072"/>
        <c:axId val="73339648"/>
      </c:lineChart>
      <c:catAx>
        <c:axId val="537790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Estágios</a:t>
                </a:r>
                <a:r>
                  <a:rPr lang="pt-BR" baseline="0"/>
                  <a:t> de maturação</a:t>
                </a:r>
                <a:endParaRPr lang="pt-BR"/>
              </a:p>
            </c:rich>
          </c:tx>
        </c:title>
        <c:tickLblPos val="nextTo"/>
        <c:crossAx val="73339648"/>
        <c:crosses val="autoZero"/>
        <c:auto val="1"/>
        <c:lblAlgn val="ctr"/>
        <c:lblOffset val="100"/>
      </c:catAx>
      <c:valAx>
        <c:axId val="7333964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 baseline="0"/>
                  <a:t>Mesocarpo e endocarpo(%)</a:t>
                </a:r>
                <a:endParaRPr lang="pt-BR"/>
              </a:p>
            </c:rich>
          </c:tx>
        </c:title>
        <c:numFmt formatCode="General" sourceLinked="1"/>
        <c:tickLblPos val="nextTo"/>
        <c:crossAx val="53779072"/>
        <c:crosses val="autoZero"/>
        <c:crossBetween val="between"/>
      </c:valAx>
    </c:plotArea>
    <c:legend>
      <c:legendPos val="r"/>
      <c:legendEntry>
        <c:idx val="2"/>
        <c:delete val="1"/>
      </c:legendEntry>
      <c:legendEntry>
        <c:idx val="3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2022A-8AA4-471C-A3E7-D403F7F4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2592</Words>
  <Characters>14003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slipknot</Company>
  <LinksUpToDate>false</LinksUpToDate>
  <CharactersWithSpaces>16562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motley</dc:creator>
  <cp:keywords/>
  <dc:description/>
  <cp:lastModifiedBy>motley</cp:lastModifiedBy>
  <cp:revision>59</cp:revision>
  <dcterms:created xsi:type="dcterms:W3CDTF">2011-08-29T18:10:00Z</dcterms:created>
  <dcterms:modified xsi:type="dcterms:W3CDTF">2011-09-20T23:09:00Z</dcterms:modified>
</cp:coreProperties>
</file>